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BF12" w14:textId="0F5D00F2" w:rsidR="00464A06" w:rsidRPr="00423AF0" w:rsidRDefault="00464A06" w:rsidP="00D803A8">
      <w:pPr>
        <w:pStyle w:val="EITUMHeading1"/>
        <w:numPr>
          <w:ilvl w:val="0"/>
          <w:numId w:val="0"/>
        </w:numPr>
        <w:ind w:left="708" w:hanging="708"/>
      </w:pPr>
      <w:bookmarkStart w:id="0" w:name="_Toc209117394"/>
      <w:r>
        <w:t>ECO Performance Monitoring and Evaluation Guidelines</w:t>
      </w:r>
      <w:bookmarkEnd w:id="0"/>
      <w:r>
        <w:t xml:space="preserve"> </w:t>
      </w:r>
    </w:p>
    <w:p w14:paraId="7DAAD167" w14:textId="77777777" w:rsidR="00464A06" w:rsidRDefault="00464A06" w:rsidP="00464A06">
      <w:pPr>
        <w:jc w:val="center"/>
        <w:rPr>
          <w:rFonts w:ascii="Titillium" w:eastAsia="Titillium" w:hAnsi="Titillium" w:cs="Titillium"/>
          <w:b/>
          <w:bCs/>
          <w:color w:val="002060"/>
          <w:sz w:val="44"/>
          <w:szCs w:val="44"/>
        </w:rPr>
      </w:pPr>
    </w:p>
    <w:p w14:paraId="1D3061A5" w14:textId="77777777" w:rsidR="00464A06" w:rsidRPr="00562C73" w:rsidRDefault="00464A06" w:rsidP="00464A06">
      <w:pPr>
        <w:jc w:val="center"/>
        <w:rPr>
          <w:rFonts w:ascii="Titillium" w:eastAsia="Titillium" w:hAnsi="Titillium" w:cs="Titillium"/>
          <w:b/>
          <w:bCs/>
          <w:color w:val="002060"/>
          <w:sz w:val="44"/>
          <w:szCs w:val="44"/>
        </w:rPr>
      </w:pPr>
      <w:r w:rsidRPr="636C4F36">
        <w:rPr>
          <w:rFonts w:ascii="Titillium" w:eastAsia="Titillium" w:hAnsi="Titillium" w:cs="Titillium"/>
          <w:b/>
          <w:bCs/>
          <w:color w:val="002060"/>
          <w:sz w:val="44"/>
          <w:szCs w:val="44"/>
        </w:rPr>
        <w:t xml:space="preserve">EIT Community Officer </w:t>
      </w:r>
    </w:p>
    <w:p w14:paraId="641EA8EB" w14:textId="77777777" w:rsidR="00464A06" w:rsidRPr="00562C73" w:rsidRDefault="00464A06" w:rsidP="00464A06">
      <w:pPr>
        <w:pStyle w:val="Pargrafdellista"/>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guide to performance monitoring and assessment</w:t>
      </w:r>
    </w:p>
    <w:p w14:paraId="07431F22" w14:textId="77777777" w:rsidR="00464A06" w:rsidRPr="00562C73" w:rsidRDefault="00464A06" w:rsidP="00464A06">
      <w:pPr>
        <w:pStyle w:val="Pargrafdellista"/>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 xml:space="preserve"> 2026-2028</w:t>
      </w:r>
    </w:p>
    <w:p w14:paraId="350E1413" w14:textId="77777777" w:rsidR="00464A06" w:rsidRDefault="00464A06" w:rsidP="00464A06">
      <w:pPr>
        <w:pStyle w:val="Pargrafdellista"/>
        <w:ind w:left="0"/>
        <w:jc w:val="center"/>
        <w:rPr>
          <w:rFonts w:ascii="Titillium" w:eastAsia="Titillium" w:hAnsi="Titillium" w:cs="Titillium"/>
          <w:b/>
          <w:bCs/>
          <w:color w:val="002060"/>
          <w:sz w:val="40"/>
          <w:szCs w:val="40"/>
        </w:rPr>
      </w:pPr>
    </w:p>
    <w:p w14:paraId="7824E3A2" w14:textId="77777777" w:rsidR="00464A06" w:rsidRDefault="00464A06" w:rsidP="00464A06">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 xml:space="preserve"> Regional Innovations and Internationalisation (RI&amp;I) </w:t>
      </w:r>
    </w:p>
    <w:p w14:paraId="3A3DA9AD" w14:textId="77777777" w:rsidR="00464A06" w:rsidRDefault="00464A06" w:rsidP="00464A06">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Cross-KIC/EIT Community Cluster</w:t>
      </w:r>
    </w:p>
    <w:p w14:paraId="6AA31402" w14:textId="77777777" w:rsidR="00464A06" w:rsidRDefault="00464A06" w:rsidP="00464A06">
      <w:pPr>
        <w:jc w:val="center"/>
        <w:rPr>
          <w:rFonts w:ascii="Titillium" w:eastAsia="Titillium" w:hAnsi="Titillium" w:cs="Titillium"/>
          <w:color w:val="002060"/>
          <w:sz w:val="32"/>
          <w:szCs w:val="32"/>
        </w:rPr>
      </w:pPr>
    </w:p>
    <w:p w14:paraId="0D43797B" w14:textId="77777777" w:rsidR="00464A06" w:rsidRDefault="00464A06" w:rsidP="00464A06">
      <w:pPr>
        <w:jc w:val="center"/>
        <w:rPr>
          <w:rFonts w:ascii="Titillium" w:eastAsia="Titillium" w:hAnsi="Titillium" w:cs="Titillium"/>
          <w:color w:val="002060"/>
          <w:sz w:val="60"/>
          <w:szCs w:val="60"/>
        </w:rPr>
      </w:pPr>
    </w:p>
    <w:p w14:paraId="7098149C" w14:textId="77777777" w:rsidR="00464A06" w:rsidRPr="00C3384C" w:rsidRDefault="00464A06" w:rsidP="00464A06">
      <w:pPr>
        <w:jc w:val="center"/>
        <w:rPr>
          <w:rFonts w:ascii="Titillium" w:eastAsia="Titillium" w:hAnsi="Titillium" w:cs="Titillium"/>
          <w:color w:val="002060"/>
          <w:sz w:val="24"/>
          <w:szCs w:val="24"/>
        </w:rPr>
      </w:pPr>
      <w:r w:rsidRPr="5F6670B7">
        <w:rPr>
          <w:rFonts w:ascii="Titillium" w:eastAsia="Titillium" w:hAnsi="Titillium" w:cs="Titillium"/>
          <w:color w:val="002060"/>
          <w:sz w:val="24"/>
          <w:szCs w:val="24"/>
        </w:rPr>
        <w:t>August 2025</w:t>
      </w:r>
    </w:p>
    <w:p w14:paraId="155B95F7" w14:textId="77777777" w:rsidR="00464A06" w:rsidRDefault="00464A06" w:rsidP="00464A06">
      <w:pPr>
        <w:ind w:left="708"/>
        <w:jc w:val="center"/>
        <w:rPr>
          <w:rFonts w:ascii="Titillium" w:eastAsia="Titillium" w:hAnsi="Titillium" w:cs="Titillium"/>
        </w:rPr>
      </w:pPr>
    </w:p>
    <w:p w14:paraId="7594F0C8" w14:textId="77777777" w:rsidR="00464A06" w:rsidRPr="00EC1B11" w:rsidRDefault="00464A06" w:rsidP="00464A06">
      <w:pPr>
        <w:rPr>
          <w:rFonts w:ascii="Titillium" w:eastAsia="Titillium" w:hAnsi="Titillium" w:cs="Titillium"/>
          <w:color w:val="004B85" w:themeColor="accent1" w:themeShade="BF"/>
          <w:sz w:val="32"/>
          <w:szCs w:val="32"/>
        </w:rPr>
      </w:pPr>
    </w:p>
    <w:p w14:paraId="6DE61081" w14:textId="77777777" w:rsidR="00464A06" w:rsidRDefault="00464A06" w:rsidP="00464A06">
      <w:pPr>
        <w:rPr>
          <w:rFonts w:ascii="Titillium" w:eastAsia="Titillium" w:hAnsi="Titillium" w:cs="Titillium"/>
          <w:b/>
          <w:bCs/>
          <w:color w:val="004B85" w:themeColor="accent1" w:themeShade="BF"/>
          <w:sz w:val="44"/>
          <w:szCs w:val="44"/>
        </w:rPr>
      </w:pPr>
      <w:r w:rsidRPr="636C4F36">
        <w:rPr>
          <w:rFonts w:ascii="Titillium" w:eastAsia="Titillium" w:hAnsi="Titillium" w:cs="Titillium"/>
        </w:rPr>
        <w:br w:type="page"/>
      </w:r>
    </w:p>
    <w:p w14:paraId="2E141BC7" w14:textId="51BCC4E2" w:rsidR="00464A06" w:rsidRPr="00E163C8" w:rsidRDefault="00464A06" w:rsidP="00464A06">
      <w:pPr>
        <w:jc w:val="both"/>
        <w:rPr>
          <w:rFonts w:asciiTheme="minorHAnsi" w:hAnsiTheme="minorHAnsi"/>
          <w:b/>
          <w:bCs/>
          <w:sz w:val="24"/>
          <w:szCs w:val="24"/>
        </w:rPr>
      </w:pPr>
      <w:r>
        <w:rPr>
          <w:rFonts w:asciiTheme="minorHAnsi" w:hAnsiTheme="minorHAnsi"/>
          <w:b/>
          <w:bCs/>
          <w:sz w:val="24"/>
          <w:szCs w:val="24"/>
        </w:rPr>
        <w:lastRenderedPageBreak/>
        <w:t xml:space="preserve">1. </w:t>
      </w:r>
      <w:r w:rsidRPr="7295751F">
        <w:rPr>
          <w:rFonts w:asciiTheme="minorHAnsi" w:hAnsiTheme="minorHAnsi"/>
          <w:b/>
          <w:bCs/>
          <w:sz w:val="24"/>
          <w:szCs w:val="24"/>
        </w:rPr>
        <w:t xml:space="preserve">Introduction </w:t>
      </w:r>
    </w:p>
    <w:p w14:paraId="547A5EF5" w14:textId="77777777" w:rsidR="00464A06" w:rsidRPr="002D3C58" w:rsidRDefault="00464A06" w:rsidP="00464A06">
      <w:pPr>
        <w:jc w:val="both"/>
        <w:rPr>
          <w:rFonts w:ascii="Titillium" w:eastAsia="Titillium" w:hAnsi="Titillium" w:cs="Titillium"/>
        </w:rPr>
      </w:pPr>
      <w:r w:rsidRPr="1F95E526">
        <w:rPr>
          <w:rFonts w:ascii="Titillium" w:eastAsia="Titillium" w:hAnsi="Titillium" w:cs="Titillium"/>
        </w:rPr>
        <w:t>The European Institute of Innovation and Technology (EIT) Strategic Innovation Agenda 2021-2027 (</w:t>
      </w:r>
      <w:hyperlink r:id="rId11">
        <w:r w:rsidRPr="636C4F36">
          <w:rPr>
            <w:rStyle w:val="Enlla"/>
            <w:rFonts w:ascii="Titillium" w:eastAsia="Titillium" w:hAnsi="Titillium" w:cs="Titillium"/>
            <w:sz w:val="22"/>
          </w:rPr>
          <w:t>Decision - 2021/820 - EN - EUR-Lex</w:t>
        </w:r>
      </w:hyperlink>
      <w:r w:rsidRPr="636C4F36">
        <w:rPr>
          <w:rFonts w:ascii="Titillium" w:eastAsia="Titillium" w:hAnsi="Titillium" w:cs="Titillium"/>
          <w:color w:val="auto"/>
          <w:sz w:val="22"/>
        </w:rPr>
        <w:t>) designates</w:t>
      </w:r>
      <w:r w:rsidRPr="1F95E526">
        <w:rPr>
          <w:rFonts w:ascii="Titillium" w:eastAsia="Titillium" w:hAnsi="Titillium" w:cs="Titillium"/>
        </w:rPr>
        <w:t xml:space="preserve"> “increasing the regional impact of the EIT KICs” through an enhanced EIT Regional Innovation Scheme (RIS), reinforced with a significantly stronger mandate and additional financial resources, as a key, EIT priority. While this recognises the Scheme’s success since its establishment, expectations on the EIT RIS to deliver increasing levels of impact in line with the EIT’s objectives remain high. To meet these expectations, the EIT RIS needs an “all hands on deck” approach, with the whole EIT Community working together towards a common goal. In particular, it must be ensured that the 27</w:t>
      </w:r>
      <w:r w:rsidRPr="1F95E526">
        <w:rPr>
          <w:rStyle w:val="Refernciadenotaapeudepgina"/>
          <w:rFonts w:ascii="Titillium" w:eastAsia="Titillium" w:hAnsi="Titillium" w:cs="Titillium"/>
        </w:rPr>
        <w:footnoteReference w:id="2"/>
      </w:r>
      <w:r w:rsidRPr="1F95E526">
        <w:rPr>
          <w:rFonts w:ascii="Titillium" w:eastAsia="Titillium" w:hAnsi="Titillium" w:cs="Titillium"/>
        </w:rPr>
        <w:t xml:space="preserve"> EIT Community Hubs established by 2026 in RIS countries, the outermost regions and in a neighbouring country, with their unique, on-the-ground presence, strongly contribute to the EIT’s objectives and Key Performance Indicators (KPIs).</w:t>
      </w:r>
    </w:p>
    <w:p w14:paraId="7599C9A6"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w:t>
      </w:r>
      <w:r w:rsidRPr="636C4F36">
        <w:rPr>
          <w:rFonts w:ascii="Titillium" w:eastAsia="Titillium" w:hAnsi="Titillium" w:cs="Titillium"/>
          <w:sz w:val="22"/>
        </w:rPr>
        <w:t>“</w:t>
      </w:r>
      <w:hyperlink r:id="rId12">
        <w:r w:rsidRPr="636C4F36">
          <w:rPr>
            <w:rStyle w:val="Enlla"/>
            <w:rFonts w:ascii="Titillium" w:eastAsia="Titillium" w:hAnsi="Titillium" w:cs="Titillium"/>
            <w:color w:val="0000EE"/>
            <w:sz w:val="22"/>
          </w:rPr>
          <w:t>EIT RIS Implementation Framework (Updated 2025-2027).pdf</w:t>
        </w:r>
      </w:hyperlink>
      <w:r w:rsidRPr="636C4F36">
        <w:rPr>
          <w:rFonts w:ascii="Titillium" w:eastAsia="Titillium" w:hAnsi="Titillium" w:cs="Titillium"/>
          <w:sz w:val="22"/>
        </w:rPr>
        <w:t>”</w:t>
      </w:r>
      <w:r w:rsidRPr="636C4F36">
        <w:rPr>
          <w:rFonts w:ascii="Titillium" w:eastAsia="Titillium" w:hAnsi="Titillium" w:cs="Titillium"/>
        </w:rPr>
        <w:t xml:space="preserve"> outlines the mission, the minimum functions, the structure of the EIT Community Hub Members and the tasks and responsibilities of the EIT Community Officers serving the EIT Community Hubs. </w:t>
      </w:r>
    </w:p>
    <w:p w14:paraId="27D9CDAE" w14:textId="40E1A081" w:rsidR="00464A06" w:rsidRPr="00825D72" w:rsidRDefault="00464A06" w:rsidP="00464A06">
      <w:pPr>
        <w:jc w:val="both"/>
        <w:rPr>
          <w:rFonts w:asciiTheme="minorHAnsi" w:hAnsiTheme="minorHAnsi"/>
          <w:b/>
          <w:bCs/>
          <w:sz w:val="24"/>
          <w:szCs w:val="24"/>
        </w:rPr>
      </w:pPr>
      <w:r>
        <w:rPr>
          <w:rFonts w:asciiTheme="minorHAnsi" w:hAnsiTheme="minorHAnsi"/>
          <w:b/>
          <w:bCs/>
          <w:sz w:val="24"/>
          <w:szCs w:val="24"/>
        </w:rPr>
        <w:t xml:space="preserve">2. </w:t>
      </w:r>
      <w:r w:rsidRPr="7295751F">
        <w:rPr>
          <w:rFonts w:asciiTheme="minorHAnsi" w:hAnsiTheme="minorHAnsi"/>
          <w:b/>
          <w:bCs/>
          <w:sz w:val="24"/>
          <w:szCs w:val="24"/>
        </w:rPr>
        <w:t>Scope</w:t>
      </w:r>
    </w:p>
    <w:p w14:paraId="69B46719" w14:textId="77777777" w:rsidR="00464A06" w:rsidRPr="00601459" w:rsidRDefault="00464A06" w:rsidP="00464A06">
      <w:pPr>
        <w:jc w:val="both"/>
        <w:rPr>
          <w:rFonts w:ascii="Titillium" w:eastAsia="Titillium" w:hAnsi="Titillium" w:cs="Titillium"/>
        </w:rPr>
      </w:pPr>
      <w:r w:rsidRPr="636C4F36">
        <w:rPr>
          <w:rFonts w:ascii="Titillium" w:eastAsia="Titillium" w:hAnsi="Titillium" w:cs="Titillium"/>
        </w:rPr>
        <w:t xml:space="preserve">The scope of this document is to provide a structured set of guidelines for the EIT Community Officers in planning and implementing their annual activities, and define their monitoring and evaluation system by defining the key performance indicators (KPIs), which are meant to support and contribute to the EIT Impact Framework KPIs. The guide also defines mandatory and optional activities for the EIT Community Officers to enhance their impact on the local EIT Community. Minimally expected target values are also determined, the monitoring process, and a final evaluation score is defined. </w:t>
      </w:r>
      <w:r w:rsidRPr="636C4F36">
        <w:rPr>
          <w:rFonts w:ascii="Titillium" w:eastAsia="Titillium" w:hAnsi="Titillium" w:cs="Titillium"/>
          <w:color w:val="auto"/>
          <w:sz w:val="22"/>
        </w:rPr>
        <w:t>The nature of this system presents enough flexibility to implement it not only to EIT Community Officers in RIS countries, but eventually to potential EIT Community Officers established in other geographies.</w:t>
      </w:r>
    </w:p>
    <w:p w14:paraId="48E41095" w14:textId="77777777" w:rsidR="00464A06" w:rsidRPr="00601459" w:rsidRDefault="00464A06" w:rsidP="00464A06">
      <w:pPr>
        <w:jc w:val="both"/>
        <w:rPr>
          <w:rFonts w:ascii="Titillium" w:eastAsia="Titillium" w:hAnsi="Titillium" w:cs="Titillium"/>
        </w:rPr>
      </w:pPr>
      <w:r w:rsidRPr="636C4F36">
        <w:rPr>
          <w:rFonts w:ascii="Titillium" w:eastAsia="Titillium" w:hAnsi="Titillium" w:cs="Titillium"/>
        </w:rPr>
        <w:t>This document will come into force on 1 January 2026 and will supersede the previous ECO monitoring and evaluation guidelines 2023-2025. The revision of this document is expected in the first quarter of each year, starting in 2027.</w:t>
      </w:r>
    </w:p>
    <w:p w14:paraId="705D108C" w14:textId="03649F2E" w:rsidR="00464A06" w:rsidRPr="00D90AD3" w:rsidRDefault="00464A06" w:rsidP="00464A06">
      <w:pPr>
        <w:jc w:val="both"/>
        <w:rPr>
          <w:rFonts w:asciiTheme="minorHAnsi" w:hAnsiTheme="minorHAnsi"/>
          <w:b/>
          <w:bCs/>
          <w:sz w:val="24"/>
          <w:szCs w:val="24"/>
        </w:rPr>
      </w:pPr>
      <w:bookmarkStart w:id="1" w:name="_Toc1569198192"/>
      <w:bookmarkStart w:id="2" w:name="_Toc205312695"/>
      <w:r>
        <w:rPr>
          <w:rFonts w:asciiTheme="minorHAnsi" w:hAnsiTheme="minorHAnsi"/>
          <w:b/>
          <w:bCs/>
          <w:sz w:val="24"/>
          <w:szCs w:val="24"/>
        </w:rPr>
        <w:t xml:space="preserve">3. </w:t>
      </w:r>
      <w:r w:rsidRPr="7295751F">
        <w:rPr>
          <w:rFonts w:asciiTheme="minorHAnsi" w:hAnsiTheme="minorHAnsi"/>
          <w:b/>
          <w:bCs/>
          <w:sz w:val="24"/>
          <w:szCs w:val="24"/>
        </w:rPr>
        <w:t>Work packages and key performance indicators</w:t>
      </w:r>
      <w:bookmarkEnd w:id="1"/>
      <w:bookmarkEnd w:id="2"/>
    </w:p>
    <w:p w14:paraId="3D50C4B1" w14:textId="77777777" w:rsidR="00464A06" w:rsidRPr="00423AF0" w:rsidRDefault="00464A06" w:rsidP="00464A06">
      <w:pPr>
        <w:pStyle w:val="Senseespaiat"/>
        <w:jc w:val="both"/>
        <w:rPr>
          <w:rFonts w:ascii="Titillium" w:eastAsia="Titillium" w:hAnsi="Titillium" w:cs="Titillium"/>
          <w:b/>
          <w:bCs/>
          <w:lang w:val="en-GB"/>
        </w:rPr>
      </w:pPr>
    </w:p>
    <w:p w14:paraId="5E96A1A0" w14:textId="77777777" w:rsidR="00464A06" w:rsidRPr="00890C5C" w:rsidRDefault="00464A06" w:rsidP="00464A06">
      <w:pPr>
        <w:jc w:val="both"/>
        <w:rPr>
          <w:rFonts w:ascii="Titillium" w:eastAsia="Titillium" w:hAnsi="Titillium" w:cs="Titillium"/>
        </w:rPr>
      </w:pPr>
      <w:r w:rsidRPr="636C4F36">
        <w:rPr>
          <w:rFonts w:ascii="Titillium" w:eastAsia="Titillium" w:hAnsi="Titillium" w:cs="Titillium"/>
        </w:rPr>
        <w:t xml:space="preserve">The EIT RIS Implementation Framework has defined a comprehensive list of functions that the EIT Community Officer is expected to undertake. Some tasks are administrative, while others refer to an objective explicitly, where measurable targets can be defined. The Cluster`s approach to define the </w:t>
      </w:r>
      <w:r w:rsidRPr="636C4F36">
        <w:rPr>
          <w:rFonts w:ascii="Titillium" w:eastAsia="Titillium" w:hAnsi="Titillium" w:cs="Titillium"/>
          <w:b/>
          <w:bCs/>
        </w:rPr>
        <w:t>EIT Community Officers Key Performance Indicators (EITECO KPI)</w:t>
      </w:r>
      <w:r w:rsidRPr="636C4F36">
        <w:rPr>
          <w:rFonts w:ascii="Titillium" w:eastAsia="Titillium" w:hAnsi="Titillium" w:cs="Titillium"/>
        </w:rPr>
        <w:t xml:space="preserve"> is in line with the strategic objective of the EIT, and was set to measure the direct contribution of the EIT Community Officers to the broader EIT Impact Framework KPIs. The ECO indicators are focusing both on supporting the Regional Innovations and Internationalisation (RI&amp;I) Cluster activities and on contributing to the individual KIC’s impact and financial sustainability).  Each key performance indicator has a subset of strands that provides more detail for the implementation. </w:t>
      </w:r>
    </w:p>
    <w:p w14:paraId="53C36378" w14:textId="77777777" w:rsidR="00464A06" w:rsidRPr="00890C5C" w:rsidRDefault="00464A06" w:rsidP="00464A06">
      <w:pPr>
        <w:jc w:val="both"/>
        <w:rPr>
          <w:rFonts w:ascii="Titillium" w:eastAsia="Titillium" w:hAnsi="Titillium" w:cs="Titillium"/>
        </w:rPr>
      </w:pPr>
      <w:r w:rsidRPr="636C4F36">
        <w:rPr>
          <w:rFonts w:ascii="Titillium" w:eastAsia="Titillium" w:hAnsi="Titillium" w:cs="Titillium"/>
        </w:rPr>
        <w:lastRenderedPageBreak/>
        <w:t xml:space="preserve">EIT Community Officers’ KPIs have been developed and approved by the representatives of the RI&amp;I Cluster, leveraging the experience of 2 years of ECO deployments, and after a series of workshops and consensus meetings conducted during June and July 2025. The EITECO KPIs are defined as SMART (specific, measurable, achievable, relevant, and time bound) indicators and represent an evolution from the previous ECO KPI list set up and used in the Business Plan 2023-2025. The ECO KPIs and tasks are organised into 4 work packages.  </w:t>
      </w:r>
    </w:p>
    <w:p w14:paraId="09CBE576" w14:textId="77777777" w:rsidR="00464A06" w:rsidRPr="00890C5C" w:rsidRDefault="00464A06" w:rsidP="00464A06">
      <w:pPr>
        <w:jc w:val="both"/>
        <w:rPr>
          <w:rFonts w:ascii="Titillium" w:eastAsia="Titillium" w:hAnsi="Titillium" w:cs="Titillium"/>
        </w:rPr>
      </w:pPr>
    </w:p>
    <w:tbl>
      <w:tblPr>
        <w:tblStyle w:val="Taulaambquadrcula"/>
        <w:tblW w:w="9351" w:type="dxa"/>
        <w:tblLook w:val="04A0" w:firstRow="1" w:lastRow="0" w:firstColumn="1" w:lastColumn="0" w:noHBand="0" w:noVBand="1"/>
      </w:tblPr>
      <w:tblGrid>
        <w:gridCol w:w="2311"/>
        <w:gridCol w:w="3520"/>
        <w:gridCol w:w="3520"/>
      </w:tblGrid>
      <w:tr w:rsidR="00464A06" w14:paraId="3FEC9591" w14:textId="77777777" w:rsidTr="00BC22D1">
        <w:trPr>
          <w:trHeight w:val="300"/>
        </w:trPr>
        <w:tc>
          <w:tcPr>
            <w:tcW w:w="1665" w:type="dxa"/>
            <w:shd w:val="clear" w:color="auto" w:fill="002060"/>
          </w:tcPr>
          <w:p w14:paraId="6E2EA4CC" w14:textId="77777777" w:rsidR="00464A06" w:rsidRDefault="00464A06" w:rsidP="00BC22D1">
            <w:pPr>
              <w:rPr>
                <w:rFonts w:ascii="Titillium" w:eastAsia="Titillium" w:hAnsi="Titillium" w:cs="Titillium"/>
                <w:b/>
                <w:bCs/>
                <w:color w:val="FFFFFF" w:themeColor="background1"/>
                <w:sz w:val="16"/>
                <w:szCs w:val="16"/>
              </w:rPr>
            </w:pPr>
            <w:r w:rsidRPr="636C4F36">
              <w:rPr>
                <w:rFonts w:ascii="Titillium" w:eastAsia="Titillium" w:hAnsi="Titillium" w:cs="Titillium"/>
                <w:b/>
                <w:bCs/>
                <w:color w:val="FFFFFF" w:themeColor="background1"/>
                <w:sz w:val="16"/>
                <w:szCs w:val="16"/>
              </w:rPr>
              <w:t>Work Packages</w:t>
            </w:r>
          </w:p>
        </w:tc>
        <w:tc>
          <w:tcPr>
            <w:tcW w:w="7686" w:type="dxa"/>
            <w:gridSpan w:val="2"/>
            <w:shd w:val="clear" w:color="auto" w:fill="002060"/>
          </w:tcPr>
          <w:p w14:paraId="0E752A83" w14:textId="77777777" w:rsidR="00464A06" w:rsidRDefault="00464A06" w:rsidP="00BC22D1">
            <w:pPr>
              <w:jc w:val="center"/>
              <w:rPr>
                <w:rFonts w:ascii="Titillium" w:eastAsia="Titillium" w:hAnsi="Titillium" w:cs="Titillium"/>
                <w:b/>
                <w:bCs/>
                <w:color w:val="FFFFFF" w:themeColor="background1"/>
                <w:sz w:val="16"/>
                <w:szCs w:val="16"/>
              </w:rPr>
            </w:pPr>
            <w:r w:rsidRPr="62283C19">
              <w:rPr>
                <w:rFonts w:ascii="Titillium" w:eastAsia="Titillium" w:hAnsi="Titillium" w:cs="Titillium"/>
                <w:b/>
                <w:bCs/>
                <w:color w:val="FFFFFF" w:themeColor="background1"/>
                <w:sz w:val="16"/>
                <w:szCs w:val="16"/>
              </w:rPr>
              <w:t>Key Performance Indicators</w:t>
            </w:r>
          </w:p>
        </w:tc>
      </w:tr>
      <w:tr w:rsidR="00464A06" w14:paraId="78DE32F3" w14:textId="77777777" w:rsidTr="00BC22D1">
        <w:trPr>
          <w:trHeight w:val="300"/>
        </w:trPr>
        <w:tc>
          <w:tcPr>
            <w:tcW w:w="1665" w:type="dxa"/>
          </w:tcPr>
          <w:p w14:paraId="7232BB6E" w14:textId="77777777" w:rsidR="00464A06" w:rsidRDefault="00464A06" w:rsidP="00BC22D1">
            <w:pPr>
              <w:rPr>
                <w:rFonts w:ascii="Titillium" w:eastAsia="Titillium" w:hAnsi="Titillium" w:cs="Titillium"/>
                <w:b/>
                <w:bCs/>
                <w:sz w:val="16"/>
                <w:szCs w:val="16"/>
              </w:rPr>
            </w:pPr>
            <w:r w:rsidRPr="636C4F36">
              <w:rPr>
                <w:rFonts w:ascii="Titillium" w:eastAsia="Titillium" w:hAnsi="Titillium" w:cs="Titillium"/>
                <w:b/>
                <w:bCs/>
                <w:sz w:val="16"/>
                <w:szCs w:val="16"/>
              </w:rPr>
              <w:t>WP0 Administration and Coordination</w:t>
            </w:r>
          </w:p>
        </w:tc>
        <w:tc>
          <w:tcPr>
            <w:tcW w:w="7686" w:type="dxa"/>
            <w:gridSpan w:val="2"/>
            <w:vAlign w:val="center"/>
          </w:tcPr>
          <w:p w14:paraId="1F4D7069" w14:textId="77777777" w:rsidR="00464A06" w:rsidRDefault="00464A06" w:rsidP="00BC22D1">
            <w:pPr>
              <w:jc w:val="center"/>
              <w:rPr>
                <w:rFonts w:ascii="Titillium" w:eastAsia="Titillium" w:hAnsi="Titillium" w:cs="Titillium"/>
                <w:sz w:val="16"/>
                <w:szCs w:val="16"/>
              </w:rPr>
            </w:pPr>
            <w:r w:rsidRPr="636C4F36">
              <w:rPr>
                <w:rFonts w:ascii="Titillium" w:eastAsia="Titillium" w:hAnsi="Titillium" w:cs="Titillium"/>
                <w:sz w:val="16"/>
                <w:szCs w:val="16"/>
              </w:rPr>
              <w:t>No specific KPI</w:t>
            </w:r>
          </w:p>
        </w:tc>
      </w:tr>
      <w:tr w:rsidR="00464A06" w14:paraId="05E10595" w14:textId="77777777" w:rsidTr="00BC22D1">
        <w:trPr>
          <w:trHeight w:val="300"/>
        </w:trPr>
        <w:tc>
          <w:tcPr>
            <w:tcW w:w="1665" w:type="dxa"/>
          </w:tcPr>
          <w:p w14:paraId="7F558710" w14:textId="77777777" w:rsidR="00464A06" w:rsidRDefault="00464A06" w:rsidP="00BC22D1">
            <w:pPr>
              <w:rPr>
                <w:rFonts w:ascii="Titillium" w:eastAsia="Titillium" w:hAnsi="Titillium" w:cs="Titillium"/>
                <w:b/>
                <w:bCs/>
                <w:sz w:val="16"/>
                <w:szCs w:val="16"/>
              </w:rPr>
            </w:pPr>
          </w:p>
        </w:tc>
        <w:tc>
          <w:tcPr>
            <w:tcW w:w="3843" w:type="dxa"/>
            <w:shd w:val="clear" w:color="auto" w:fill="002060"/>
          </w:tcPr>
          <w:p w14:paraId="0F2B7B82" w14:textId="77777777" w:rsidR="00464A06" w:rsidRDefault="00464A06" w:rsidP="00BC22D1">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RI&amp;I Cluster</w:t>
            </w:r>
          </w:p>
        </w:tc>
        <w:tc>
          <w:tcPr>
            <w:tcW w:w="3843" w:type="dxa"/>
            <w:shd w:val="clear" w:color="auto" w:fill="002060"/>
          </w:tcPr>
          <w:p w14:paraId="122DE619" w14:textId="77777777" w:rsidR="00464A06" w:rsidRDefault="00464A06" w:rsidP="00BC22D1">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KICs</w:t>
            </w:r>
          </w:p>
        </w:tc>
      </w:tr>
      <w:tr w:rsidR="00464A06" w14:paraId="412966EA" w14:textId="77777777" w:rsidTr="00BC22D1">
        <w:trPr>
          <w:trHeight w:val="300"/>
        </w:trPr>
        <w:tc>
          <w:tcPr>
            <w:tcW w:w="1665" w:type="dxa"/>
          </w:tcPr>
          <w:p w14:paraId="249FD6F5"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 xml:space="preserve">WP1 Local Community Development for Innovation/Education/Business Creation </w:t>
            </w:r>
          </w:p>
          <w:p w14:paraId="230646D4" w14:textId="77777777" w:rsidR="00464A06" w:rsidRPr="00423AF0" w:rsidRDefault="00464A06" w:rsidP="00BC22D1">
            <w:pPr>
              <w:rPr>
                <w:rFonts w:ascii="Titillium" w:eastAsia="Titillium" w:hAnsi="Titillium" w:cs="Titillium"/>
                <w:b/>
                <w:bCs/>
                <w:sz w:val="16"/>
                <w:szCs w:val="16"/>
                <w:lang w:val="en-GB"/>
              </w:rPr>
            </w:pPr>
          </w:p>
          <w:p w14:paraId="42D7F3FB" w14:textId="77777777" w:rsidR="00464A06" w:rsidRPr="00423AF0" w:rsidRDefault="00464A06" w:rsidP="00BC22D1">
            <w:pPr>
              <w:rPr>
                <w:rFonts w:ascii="Titillium" w:eastAsia="Titillium" w:hAnsi="Titillium" w:cs="Titillium"/>
                <w:b/>
                <w:bCs/>
                <w:sz w:val="16"/>
                <w:szCs w:val="16"/>
                <w:lang w:val="en-GB"/>
              </w:rPr>
            </w:pPr>
          </w:p>
          <w:p w14:paraId="71B7AA2A" w14:textId="77777777" w:rsidR="00464A06" w:rsidRPr="00423AF0" w:rsidRDefault="00464A06" w:rsidP="00BC22D1">
            <w:pPr>
              <w:rPr>
                <w:rFonts w:ascii="Titillium" w:eastAsia="Titillium" w:hAnsi="Titillium" w:cs="Titillium"/>
                <w:b/>
                <w:bCs/>
                <w:sz w:val="16"/>
                <w:szCs w:val="16"/>
                <w:lang w:val="en-GB"/>
              </w:rPr>
            </w:pPr>
          </w:p>
          <w:p w14:paraId="2E080020" w14:textId="77777777" w:rsidR="00464A06" w:rsidRPr="00423AF0" w:rsidRDefault="00464A06" w:rsidP="00BC22D1">
            <w:pPr>
              <w:rPr>
                <w:rFonts w:ascii="Titillium" w:eastAsia="Titillium" w:hAnsi="Titillium" w:cs="Titillium"/>
                <w:b/>
                <w:bCs/>
                <w:sz w:val="16"/>
                <w:szCs w:val="16"/>
                <w:lang w:val="en-GB"/>
              </w:rPr>
            </w:pPr>
          </w:p>
          <w:p w14:paraId="03F990A3" w14:textId="77777777" w:rsidR="00464A06" w:rsidRPr="00423AF0" w:rsidRDefault="00464A06" w:rsidP="00BC22D1">
            <w:pPr>
              <w:rPr>
                <w:rFonts w:ascii="Titillium" w:eastAsia="Titillium" w:hAnsi="Titillium" w:cs="Titillium"/>
                <w:b/>
                <w:bCs/>
                <w:sz w:val="16"/>
                <w:szCs w:val="16"/>
                <w:lang w:val="en-GB"/>
              </w:rPr>
            </w:pPr>
          </w:p>
          <w:p w14:paraId="182E7BDC" w14:textId="77777777" w:rsidR="00464A06" w:rsidRPr="00423AF0" w:rsidRDefault="00464A06" w:rsidP="00BC22D1">
            <w:pPr>
              <w:rPr>
                <w:rFonts w:ascii="Titillium" w:eastAsia="Titillium" w:hAnsi="Titillium" w:cs="Titillium"/>
                <w:b/>
                <w:bCs/>
                <w:sz w:val="16"/>
                <w:szCs w:val="16"/>
                <w:lang w:val="en-GB"/>
              </w:rPr>
            </w:pPr>
          </w:p>
          <w:p w14:paraId="4A5254B4" w14:textId="77777777" w:rsidR="00464A06" w:rsidRPr="00423AF0" w:rsidRDefault="00464A06" w:rsidP="00BC22D1">
            <w:pPr>
              <w:rPr>
                <w:rFonts w:ascii="Titillium" w:eastAsia="Titillium" w:hAnsi="Titillium" w:cs="Titillium"/>
                <w:b/>
                <w:bCs/>
                <w:sz w:val="16"/>
                <w:szCs w:val="16"/>
                <w:lang w:val="en-GB"/>
              </w:rPr>
            </w:pPr>
          </w:p>
          <w:p w14:paraId="5388568E" w14:textId="77777777" w:rsidR="00464A06" w:rsidRPr="00423AF0" w:rsidRDefault="00464A06" w:rsidP="00BC22D1">
            <w:pPr>
              <w:rPr>
                <w:rFonts w:ascii="Titillium" w:eastAsia="Titillium" w:hAnsi="Titillium" w:cs="Titillium"/>
                <w:sz w:val="16"/>
                <w:szCs w:val="16"/>
                <w:lang w:val="en-GB"/>
              </w:rPr>
            </w:pPr>
            <w:r w:rsidRPr="00423AF0">
              <w:rPr>
                <w:rFonts w:ascii="Titillium" w:eastAsia="Titillium" w:hAnsi="Titillium" w:cs="Titillium"/>
                <w:sz w:val="16"/>
                <w:szCs w:val="16"/>
                <w:lang w:val="en-GB"/>
              </w:rPr>
              <w:t>* only applicable in RIB pilot countries.</w:t>
            </w:r>
          </w:p>
        </w:tc>
        <w:tc>
          <w:tcPr>
            <w:tcW w:w="3843" w:type="dxa"/>
          </w:tcPr>
          <w:p w14:paraId="306D6545"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EITECO01 – Number of applicants, participants supported/referred by the ECO to the RI&amp;I Cluster innovation, education, business creation calls and training programmes</w:t>
            </w:r>
          </w:p>
          <w:p w14:paraId="6FD2E02E" w14:textId="77777777" w:rsidR="00464A06" w:rsidRPr="00423AF0" w:rsidRDefault="00464A06" w:rsidP="00BC22D1">
            <w:pPr>
              <w:jc w:val="both"/>
              <w:rPr>
                <w:rFonts w:ascii="Titillium" w:eastAsia="Titillium" w:hAnsi="Titillium" w:cs="Titillium"/>
                <w:color w:val="004B85" w:themeColor="accent1" w:themeShade="BF"/>
                <w:sz w:val="16"/>
                <w:szCs w:val="16"/>
                <w:lang w:val="en-GB"/>
              </w:rPr>
            </w:pPr>
          </w:p>
          <w:p w14:paraId="07EF35EE"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Jumpstarter programme eligible applicants supported/referred by the ECO.</w:t>
            </w:r>
          </w:p>
          <w:p w14:paraId="7EF4B09E"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Regional Innovation Booster applicants eligible supported/referred by the ECO.</w:t>
            </w:r>
          </w:p>
          <w:p w14:paraId="0C289058"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Global Outreach programme applicants eligible supported/referred by the ECO</w:t>
            </w:r>
          </w:p>
          <w:p w14:paraId="0B3625A9" w14:textId="77777777" w:rsidR="00464A06" w:rsidRPr="00423AF0" w:rsidRDefault="00464A06" w:rsidP="00BC22D1">
            <w:pPr>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Global Outreach training programme participants supported/referred by the ECO</w:t>
            </w:r>
          </w:p>
        </w:tc>
        <w:tc>
          <w:tcPr>
            <w:tcW w:w="3843" w:type="dxa"/>
          </w:tcPr>
          <w:p w14:paraId="374F85E2"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EITECO02 – Number of applicants, participants supported/referred to individual KIC’s innovation, education, business creation calls and training programmes</w:t>
            </w:r>
          </w:p>
          <w:p w14:paraId="00CFFF81" w14:textId="77777777" w:rsidR="00464A06" w:rsidRPr="00423AF0" w:rsidRDefault="00464A06" w:rsidP="00BC22D1">
            <w:pPr>
              <w:spacing w:after="120"/>
              <w:jc w:val="both"/>
              <w:rPr>
                <w:rFonts w:ascii="Titillium" w:eastAsia="Titillium" w:hAnsi="Titillium" w:cs="Titillium"/>
                <w:sz w:val="16"/>
                <w:szCs w:val="16"/>
                <w:lang w:val="en-GB"/>
              </w:rPr>
            </w:pPr>
          </w:p>
          <w:p w14:paraId="4689A785"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KIC Innovation Calls applicants eligible supported/referred by the ECO</w:t>
            </w:r>
          </w:p>
          <w:p w14:paraId="29EC60E0"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EIT KIC Education Calls applicants eligible supported/referred by the ECO</w:t>
            </w:r>
          </w:p>
          <w:p w14:paraId="6C4D4238"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EIT KIC Business Creation Calls applicants eligible supported/referred by the ECO</w:t>
            </w:r>
          </w:p>
          <w:p w14:paraId="6AF25E2B" w14:textId="77777777" w:rsidR="00464A06" w:rsidRPr="00423AF0" w:rsidRDefault="00464A06" w:rsidP="00BC22D1">
            <w:pPr>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KIC training programme participants supported/referred by the ECO</w:t>
            </w:r>
          </w:p>
          <w:p w14:paraId="6F139353" w14:textId="77777777" w:rsidR="00464A06" w:rsidRPr="00423AF0" w:rsidRDefault="00464A06" w:rsidP="00BC22D1">
            <w:pPr>
              <w:ind w:left="270"/>
              <w:jc w:val="both"/>
              <w:rPr>
                <w:rFonts w:ascii="Titillium" w:eastAsia="Titillium" w:hAnsi="Titillium" w:cs="Titillium"/>
                <w:sz w:val="16"/>
                <w:szCs w:val="16"/>
                <w:lang w:val="en-GB"/>
              </w:rPr>
            </w:pPr>
          </w:p>
          <w:p w14:paraId="5D07D328" w14:textId="77777777" w:rsidR="00464A06" w:rsidRPr="00423AF0" w:rsidRDefault="00464A06" w:rsidP="00BC22D1">
            <w:pPr>
              <w:ind w:left="270"/>
              <w:jc w:val="both"/>
              <w:rPr>
                <w:rFonts w:ascii="Titillium" w:eastAsia="Titillium" w:hAnsi="Titillium" w:cs="Titillium"/>
                <w:sz w:val="16"/>
                <w:szCs w:val="16"/>
                <w:lang w:val="en-GB"/>
              </w:rPr>
            </w:pPr>
          </w:p>
          <w:p w14:paraId="103C970D" w14:textId="77777777" w:rsidR="00464A06" w:rsidRPr="00423AF0" w:rsidRDefault="00464A06" w:rsidP="00BC22D1">
            <w:pPr>
              <w:ind w:left="270"/>
              <w:jc w:val="both"/>
              <w:rPr>
                <w:rFonts w:ascii="Titillium" w:eastAsia="Titillium" w:hAnsi="Titillium" w:cs="Titillium"/>
                <w:sz w:val="16"/>
                <w:szCs w:val="16"/>
                <w:lang w:val="en-GB"/>
              </w:rPr>
            </w:pPr>
          </w:p>
          <w:p w14:paraId="7F7B8850" w14:textId="77777777" w:rsidR="00464A06" w:rsidRPr="00423AF0" w:rsidRDefault="00464A06" w:rsidP="00BC22D1">
            <w:pPr>
              <w:jc w:val="both"/>
              <w:rPr>
                <w:rFonts w:ascii="Titillium" w:eastAsia="Titillium" w:hAnsi="Titillium" w:cs="Titillium"/>
                <w:sz w:val="16"/>
                <w:szCs w:val="16"/>
                <w:lang w:val="en-GB"/>
              </w:rPr>
            </w:pPr>
          </w:p>
        </w:tc>
      </w:tr>
      <w:tr w:rsidR="00464A06" w14:paraId="1F6BFC81" w14:textId="77777777" w:rsidTr="00BC22D1">
        <w:trPr>
          <w:trHeight w:val="300"/>
        </w:trPr>
        <w:tc>
          <w:tcPr>
            <w:tcW w:w="1665" w:type="dxa"/>
          </w:tcPr>
          <w:p w14:paraId="6C5DF09A"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WP2 Business Development for Financial Sustainability</w:t>
            </w:r>
          </w:p>
        </w:tc>
        <w:tc>
          <w:tcPr>
            <w:tcW w:w="3843" w:type="dxa"/>
          </w:tcPr>
          <w:p w14:paraId="6AE43CBA"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EITECO03 – Number of leads for revenue, funding facilitated by the ECO to contribute to the financial sustainability of the RI&amp;I Cluster</w:t>
            </w:r>
          </w:p>
          <w:p w14:paraId="50FAA447" w14:textId="77777777" w:rsidR="00464A06" w:rsidRPr="00423AF0" w:rsidRDefault="00464A06" w:rsidP="00BC22D1">
            <w:pPr>
              <w:jc w:val="both"/>
              <w:rPr>
                <w:rFonts w:ascii="Titillium" w:eastAsia="Titillium" w:hAnsi="Titillium" w:cs="Titillium"/>
                <w:sz w:val="16"/>
                <w:szCs w:val="16"/>
                <w:lang w:val="en-GB"/>
              </w:rPr>
            </w:pPr>
          </w:p>
          <w:p w14:paraId="3A7D299C"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leads facilitated by the ECO for national, regional, local funding (grant or investment) raised by EIT Jumpstarter teams, participants.</w:t>
            </w:r>
          </w:p>
          <w:p w14:paraId="6EB21C23"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leads facilitated by the ECO for national, regional, local funding (grant or investment) raised by Global Outreach supported startups/scaleups.</w:t>
            </w:r>
          </w:p>
          <w:p w14:paraId="41EE5C15"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generated by the ECO converted in Global Outreach selling GO Academy modules.</w:t>
            </w:r>
          </w:p>
        </w:tc>
        <w:tc>
          <w:tcPr>
            <w:tcW w:w="3843" w:type="dxa"/>
          </w:tcPr>
          <w:p w14:paraId="704F64B9"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lastRenderedPageBreak/>
              <w:t>EITECO04 – Number of leads for revenue, funding facilitated by the ECO to contribute to the financial sustainability of the KICs</w:t>
            </w:r>
          </w:p>
          <w:p w14:paraId="30D7F7E8" w14:textId="77777777" w:rsidR="00464A06" w:rsidRPr="00423AF0" w:rsidRDefault="00464A06" w:rsidP="00BC22D1">
            <w:pPr>
              <w:jc w:val="both"/>
              <w:rPr>
                <w:rFonts w:ascii="Titillium" w:eastAsia="Titillium" w:hAnsi="Titillium" w:cs="Titillium"/>
                <w:sz w:val="16"/>
                <w:szCs w:val="16"/>
                <w:lang w:val="en-GB"/>
              </w:rPr>
            </w:pPr>
          </w:p>
          <w:p w14:paraId="684E4BEE" w14:textId="77777777" w:rsidR="00464A06" w:rsidRPr="00423AF0" w:rsidRDefault="00464A06" w:rsidP="00BC22D1">
            <w:pPr>
              <w:jc w:val="both"/>
              <w:rPr>
                <w:rFonts w:ascii="Titillium" w:eastAsia="Titillium" w:hAnsi="Titillium" w:cs="Titillium"/>
                <w:sz w:val="16"/>
                <w:szCs w:val="16"/>
                <w:lang w:val="en-GB"/>
              </w:rPr>
            </w:pPr>
          </w:p>
          <w:p w14:paraId="1EC3E2B2" w14:textId="77777777" w:rsidR="00464A06" w:rsidRPr="00423AF0" w:rsidRDefault="00464A06" w:rsidP="00BC22D1">
            <w:pPr>
              <w:spacing w:after="120"/>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leads facilitated by the ECO for new KIC partner membership fee.</w:t>
            </w:r>
          </w:p>
          <w:p w14:paraId="5BDC9C75" w14:textId="77777777" w:rsidR="00464A06" w:rsidRPr="00423AF0" w:rsidRDefault="00464A06" w:rsidP="00BC22D1">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w:t>
            </w:r>
            <w:r w:rsidRPr="62283C19">
              <w:rPr>
                <w:rFonts w:ascii="Titillium" w:eastAsia="Titillium" w:hAnsi="Titillium" w:cs="Titillium"/>
                <w:color w:val="auto"/>
                <w:sz w:val="16"/>
                <w:szCs w:val="16"/>
                <w:lang w:eastAsia="en-US"/>
              </w:rPr>
              <w:t>Number of leads facilitated by the ECO for national, local funding secured (co-funding or co-investment) that supports the KICs financial sustainability</w:t>
            </w:r>
            <w:r w:rsidRPr="00423AF0">
              <w:rPr>
                <w:rFonts w:ascii="Titillium" w:eastAsia="Titillium" w:hAnsi="Titillium" w:cs="Titillium"/>
                <w:color w:val="auto"/>
                <w:sz w:val="16"/>
                <w:szCs w:val="16"/>
                <w:lang w:val="en-GB" w:eastAsia="en-US"/>
              </w:rPr>
              <w:t>.</w:t>
            </w:r>
          </w:p>
          <w:p w14:paraId="396B0D85" w14:textId="77777777" w:rsidR="00464A06" w:rsidRPr="00423AF0" w:rsidRDefault="00464A06" w:rsidP="00BC22D1">
            <w:pPr>
              <w:ind w:left="360"/>
              <w:jc w:val="both"/>
              <w:rPr>
                <w:rFonts w:ascii="Titillium" w:eastAsia="Titillium" w:hAnsi="Titillium" w:cs="Titillium"/>
                <w:sz w:val="16"/>
                <w:szCs w:val="16"/>
                <w:lang w:val="en-GB"/>
              </w:rPr>
            </w:pPr>
          </w:p>
          <w:p w14:paraId="5AF27910" w14:textId="77777777" w:rsidR="00464A06" w:rsidRPr="00423AF0" w:rsidRDefault="00464A06" w:rsidP="00BC22D1">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facilitated by the ECO for revenue converted by the KICs with sold services. </w:t>
            </w:r>
          </w:p>
          <w:p w14:paraId="231B3B2C" w14:textId="77777777" w:rsidR="00464A06" w:rsidRPr="00423AF0" w:rsidRDefault="00464A06" w:rsidP="00BC22D1">
            <w:pPr>
              <w:ind w:left="360"/>
              <w:jc w:val="both"/>
              <w:rPr>
                <w:rFonts w:ascii="Titillium" w:eastAsia="Titillium" w:hAnsi="Titillium" w:cs="Titillium"/>
                <w:sz w:val="16"/>
                <w:szCs w:val="16"/>
                <w:lang w:val="en-GB"/>
              </w:rPr>
            </w:pPr>
          </w:p>
          <w:p w14:paraId="66B9D116" w14:textId="77777777" w:rsidR="00464A06" w:rsidRPr="00423AF0" w:rsidRDefault="00464A06" w:rsidP="00BC22D1">
            <w:pPr>
              <w:ind w:left="360"/>
              <w:jc w:val="both"/>
              <w:rPr>
                <w:rFonts w:ascii="Titillium" w:eastAsia="Titillium" w:hAnsi="Titillium" w:cs="Titillium"/>
                <w:sz w:val="16"/>
                <w:szCs w:val="16"/>
                <w:lang w:val="en-GB"/>
              </w:rPr>
            </w:pPr>
          </w:p>
          <w:p w14:paraId="01972B7D" w14:textId="77777777" w:rsidR="00464A06" w:rsidRPr="00423AF0" w:rsidRDefault="00464A06" w:rsidP="00BC22D1">
            <w:pPr>
              <w:ind w:left="360"/>
              <w:jc w:val="both"/>
              <w:rPr>
                <w:rFonts w:ascii="Titillium" w:eastAsia="Titillium" w:hAnsi="Titillium" w:cs="Titillium"/>
                <w:sz w:val="16"/>
                <w:szCs w:val="16"/>
                <w:lang w:val="en-GB"/>
              </w:rPr>
            </w:pPr>
          </w:p>
        </w:tc>
      </w:tr>
      <w:tr w:rsidR="00464A06" w14:paraId="78CC6623" w14:textId="77777777" w:rsidTr="00BC22D1">
        <w:trPr>
          <w:trHeight w:val="300"/>
        </w:trPr>
        <w:tc>
          <w:tcPr>
            <w:tcW w:w="1665" w:type="dxa"/>
          </w:tcPr>
          <w:p w14:paraId="0CC2AD25" w14:textId="77777777" w:rsidR="00464A06" w:rsidRPr="00423AF0" w:rsidRDefault="00464A06" w:rsidP="00BC22D1">
            <w:pPr>
              <w:rPr>
                <w:rFonts w:ascii="Titillium" w:eastAsia="Titillium" w:hAnsi="Titillium" w:cs="Titillium"/>
                <w:b/>
                <w:bCs/>
                <w:lang w:val="en-GB"/>
              </w:rPr>
            </w:pPr>
          </w:p>
        </w:tc>
        <w:tc>
          <w:tcPr>
            <w:tcW w:w="7686" w:type="dxa"/>
            <w:gridSpan w:val="2"/>
            <w:shd w:val="clear" w:color="auto" w:fill="002060"/>
          </w:tcPr>
          <w:p w14:paraId="23791FF9" w14:textId="77777777" w:rsidR="00464A06" w:rsidRPr="00423AF0" w:rsidRDefault="00464A06" w:rsidP="00BC22D1">
            <w:pPr>
              <w:jc w:val="center"/>
              <w:rPr>
                <w:rFonts w:ascii="Titillium" w:eastAsia="Titillium" w:hAnsi="Titillium" w:cs="Titillium"/>
                <w:color w:val="FFFFFF" w:themeColor="background1"/>
                <w:sz w:val="16"/>
                <w:szCs w:val="16"/>
                <w:lang w:val="en-GB"/>
              </w:rPr>
            </w:pPr>
            <w:r w:rsidRPr="00423AF0">
              <w:rPr>
                <w:rFonts w:ascii="Titillium" w:eastAsia="Titillium" w:hAnsi="Titillium" w:cs="Titillium"/>
                <w:color w:val="FFFFFF" w:themeColor="background1"/>
                <w:sz w:val="16"/>
                <w:szCs w:val="16"/>
                <w:lang w:val="en-GB"/>
              </w:rPr>
              <w:t>External funding raised for the EIT Community Hub activity</w:t>
            </w:r>
          </w:p>
        </w:tc>
      </w:tr>
      <w:tr w:rsidR="00464A06" w14:paraId="1B1C64FE" w14:textId="77777777" w:rsidTr="00BC22D1">
        <w:trPr>
          <w:trHeight w:val="300"/>
        </w:trPr>
        <w:tc>
          <w:tcPr>
            <w:tcW w:w="1665" w:type="dxa"/>
          </w:tcPr>
          <w:p w14:paraId="54774AA2"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WP3 Fundraising for the EIT Community Hub</w:t>
            </w:r>
          </w:p>
        </w:tc>
        <w:tc>
          <w:tcPr>
            <w:tcW w:w="7686" w:type="dxa"/>
            <w:gridSpan w:val="2"/>
          </w:tcPr>
          <w:p w14:paraId="7F76F919" w14:textId="77777777" w:rsidR="00464A06" w:rsidRPr="00423AF0" w:rsidRDefault="00464A06" w:rsidP="00BC22D1">
            <w:pPr>
              <w:spacing w:after="120"/>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 xml:space="preserve">EITECO05 Amount of non-EIT funding raised for additional activities of the EIT Community Hub (preferably together with EIT Community Hub Members) contributing to the EIT core KPIs </w:t>
            </w:r>
          </w:p>
          <w:p w14:paraId="123F2288" w14:textId="77777777" w:rsidR="00464A06" w:rsidRPr="00423AF0" w:rsidRDefault="00464A06" w:rsidP="00BC22D1">
            <w:pPr>
              <w:spacing w:after="60"/>
              <w:ind w:left="270"/>
              <w:jc w:val="both"/>
              <w:rPr>
                <w:rFonts w:ascii="Titillium" w:eastAsia="Titillium" w:hAnsi="Titillium" w:cs="Titillium"/>
                <w:sz w:val="16"/>
                <w:szCs w:val="16"/>
                <w:lang w:val="en-GB"/>
              </w:rPr>
            </w:pPr>
          </w:p>
        </w:tc>
      </w:tr>
    </w:tbl>
    <w:p w14:paraId="2B5B36D9" w14:textId="77777777" w:rsidR="00464A06" w:rsidRDefault="00464A06" w:rsidP="00464A06">
      <w:pPr>
        <w:jc w:val="both"/>
        <w:rPr>
          <w:rFonts w:ascii="Titillium" w:eastAsia="Titillium" w:hAnsi="Titillium" w:cs="Titillium"/>
        </w:rPr>
      </w:pPr>
    </w:p>
    <w:p w14:paraId="6553DCC0" w14:textId="77777777" w:rsidR="00464A06" w:rsidRPr="00D90AD3" w:rsidRDefault="00464A06" w:rsidP="00464A06">
      <w:pPr>
        <w:jc w:val="both"/>
        <w:rPr>
          <w:rFonts w:asciiTheme="minorHAnsi" w:hAnsiTheme="minorHAnsi"/>
          <w:b/>
          <w:bCs/>
          <w:sz w:val="24"/>
          <w:szCs w:val="24"/>
        </w:rPr>
      </w:pPr>
      <w:bookmarkStart w:id="3" w:name="_Toc26282627"/>
      <w:bookmarkStart w:id="4" w:name="_Toc205312696"/>
      <w:r w:rsidRPr="7295751F">
        <w:rPr>
          <w:rFonts w:asciiTheme="minorHAnsi" w:hAnsiTheme="minorHAnsi"/>
          <w:b/>
          <w:bCs/>
          <w:sz w:val="24"/>
          <w:szCs w:val="24"/>
        </w:rPr>
        <w:t>3.1. The Definition of the Key Performance Indicators</w:t>
      </w:r>
      <w:bookmarkEnd w:id="3"/>
      <w:bookmarkEnd w:id="4"/>
    </w:p>
    <w:p w14:paraId="5D489B3F" w14:textId="77777777" w:rsidR="00464A06" w:rsidRDefault="00464A06" w:rsidP="00464A06">
      <w:pPr>
        <w:jc w:val="both"/>
        <w:rPr>
          <w:rFonts w:ascii="Titillium" w:eastAsia="Titillium" w:hAnsi="Titillium" w:cs="Titillium"/>
        </w:rPr>
      </w:pPr>
    </w:p>
    <w:p w14:paraId="4578B680"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The description of the KPIs is the following:</w:t>
      </w:r>
    </w:p>
    <w:tbl>
      <w:tblPr>
        <w:tblStyle w:val="Taulaambquadrcula"/>
        <w:tblW w:w="0" w:type="auto"/>
        <w:tblLook w:val="04A0" w:firstRow="1" w:lastRow="0" w:firstColumn="1" w:lastColumn="0" w:noHBand="0" w:noVBand="1"/>
      </w:tblPr>
      <w:tblGrid>
        <w:gridCol w:w="1774"/>
        <w:gridCol w:w="3145"/>
        <w:gridCol w:w="3574"/>
      </w:tblGrid>
      <w:tr w:rsidR="00464A06" w14:paraId="4867DA18" w14:textId="77777777" w:rsidTr="00BC22D1">
        <w:tc>
          <w:tcPr>
            <w:tcW w:w="1885" w:type="dxa"/>
            <w:shd w:val="clear" w:color="auto" w:fill="002060"/>
          </w:tcPr>
          <w:p w14:paraId="42FE1495" w14:textId="77777777" w:rsidR="00464A06" w:rsidRPr="00AA31C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EITECO01</w:t>
            </w:r>
          </w:p>
        </w:tc>
        <w:tc>
          <w:tcPr>
            <w:tcW w:w="7465" w:type="dxa"/>
            <w:gridSpan w:val="2"/>
            <w:shd w:val="clear" w:color="auto" w:fill="002060"/>
          </w:tcPr>
          <w:p w14:paraId="286867EE"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RI&amp;I Cluster innovation, education, business creation calls</w:t>
            </w:r>
          </w:p>
        </w:tc>
      </w:tr>
      <w:tr w:rsidR="00464A06" w14:paraId="639B14C4" w14:textId="77777777" w:rsidTr="00BC22D1">
        <w:tc>
          <w:tcPr>
            <w:tcW w:w="5485" w:type="dxa"/>
            <w:gridSpan w:val="2"/>
            <w:vMerge w:val="restart"/>
          </w:tcPr>
          <w:p w14:paraId="5326B33E"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0EB73A4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strategically scout and secure new applicants, applications to the calls published by the RI&amp;I Cluster initiatives: EIT Jumpstarter, Regional Innovation Booster, Global Outreach </w:t>
            </w:r>
            <w:r w:rsidRPr="00423AF0">
              <w:rPr>
                <w:rFonts w:ascii="Titillium" w:eastAsia="Titillium" w:hAnsi="Titillium" w:cs="Titillium"/>
                <w:lang w:val="en-GB"/>
              </w:rPr>
              <w:lastRenderedPageBreak/>
              <w:t xml:space="preserve">programmes and participants for the Global Outreach training sessions. </w:t>
            </w:r>
          </w:p>
          <w:p w14:paraId="264366B9" w14:textId="77777777" w:rsidR="00464A06" w:rsidRPr="00423AF0" w:rsidRDefault="00464A06" w:rsidP="00BC22D1">
            <w:pPr>
              <w:spacing w:line="259" w:lineRule="auto"/>
              <w:jc w:val="both"/>
              <w:rPr>
                <w:rFonts w:ascii="Titillium" w:eastAsia="Titillium" w:hAnsi="Titillium" w:cs="Titillium"/>
                <w:lang w:val="en-GB"/>
              </w:rPr>
            </w:pPr>
          </w:p>
        </w:tc>
        <w:tc>
          <w:tcPr>
            <w:tcW w:w="3865" w:type="dxa"/>
          </w:tcPr>
          <w:p w14:paraId="02C89224"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lastRenderedPageBreak/>
              <w:t>Evidence:</w:t>
            </w:r>
          </w:p>
        </w:tc>
      </w:tr>
      <w:tr w:rsidR="00464A06" w14:paraId="42D6AB5D" w14:textId="77777777" w:rsidTr="00BC22D1">
        <w:trPr>
          <w:trHeight w:val="532"/>
        </w:trPr>
        <w:tc>
          <w:tcPr>
            <w:tcW w:w="5485" w:type="dxa"/>
            <w:gridSpan w:val="2"/>
            <w:vMerge/>
          </w:tcPr>
          <w:p w14:paraId="4F788B0E" w14:textId="77777777" w:rsidR="00464A06" w:rsidRDefault="00464A06" w:rsidP="00BC22D1">
            <w:pPr>
              <w:jc w:val="both"/>
            </w:pPr>
          </w:p>
        </w:tc>
        <w:tc>
          <w:tcPr>
            <w:tcW w:w="3865" w:type="dxa"/>
            <w:vAlign w:val="center"/>
          </w:tcPr>
          <w:p w14:paraId="5E7B7F7C"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Cluster programmes and training programme participant list with the submitted structured data</w:t>
            </w:r>
          </w:p>
        </w:tc>
      </w:tr>
      <w:tr w:rsidR="00464A06" w14:paraId="09CAF1FA" w14:textId="77777777" w:rsidTr="00BC22D1">
        <w:trPr>
          <w:trHeight w:val="296"/>
        </w:trPr>
        <w:tc>
          <w:tcPr>
            <w:tcW w:w="5485" w:type="dxa"/>
            <w:gridSpan w:val="2"/>
            <w:vMerge/>
          </w:tcPr>
          <w:p w14:paraId="4078D72B" w14:textId="77777777" w:rsidR="00464A06" w:rsidRPr="00423AF0" w:rsidRDefault="00464A06" w:rsidP="00BC22D1">
            <w:pPr>
              <w:jc w:val="both"/>
              <w:rPr>
                <w:lang w:val="en-GB"/>
              </w:rPr>
            </w:pPr>
          </w:p>
        </w:tc>
        <w:tc>
          <w:tcPr>
            <w:tcW w:w="3865" w:type="dxa"/>
          </w:tcPr>
          <w:p w14:paraId="76E351ED"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12603F73" w14:textId="77777777" w:rsidTr="00BC22D1">
        <w:trPr>
          <w:trHeight w:val="532"/>
        </w:trPr>
        <w:tc>
          <w:tcPr>
            <w:tcW w:w="5485" w:type="dxa"/>
            <w:gridSpan w:val="2"/>
            <w:vMerge/>
          </w:tcPr>
          <w:p w14:paraId="49B1C77B" w14:textId="77777777" w:rsidR="00464A06" w:rsidRDefault="00464A06" w:rsidP="00BC22D1">
            <w:pPr>
              <w:jc w:val="both"/>
            </w:pPr>
          </w:p>
        </w:tc>
        <w:tc>
          <w:tcPr>
            <w:tcW w:w="3865" w:type="dxa"/>
          </w:tcPr>
          <w:p w14:paraId="443E9459"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applicant to the Cluster programme or Name of the training participants</w:t>
            </w:r>
          </w:p>
          <w:p w14:paraId="2FCDEBEE"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Title of the cluster programme or the training programme</w:t>
            </w:r>
          </w:p>
          <w:p w14:paraId="09E0DBE3"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116EEA29" w14:textId="77777777" w:rsidR="00464A06" w:rsidRDefault="00464A06" w:rsidP="00464A06">
      <w:pPr>
        <w:jc w:val="both"/>
        <w:rPr>
          <w:rFonts w:ascii="Titillium" w:eastAsia="Titillium" w:hAnsi="Titillium" w:cs="Titillium"/>
        </w:rPr>
      </w:pPr>
    </w:p>
    <w:tbl>
      <w:tblPr>
        <w:tblStyle w:val="Taulaambquadrcula"/>
        <w:tblW w:w="0" w:type="auto"/>
        <w:tblLook w:val="04A0" w:firstRow="1" w:lastRow="0" w:firstColumn="1" w:lastColumn="0" w:noHBand="0" w:noVBand="1"/>
      </w:tblPr>
      <w:tblGrid>
        <w:gridCol w:w="1770"/>
        <w:gridCol w:w="3162"/>
        <w:gridCol w:w="3561"/>
      </w:tblGrid>
      <w:tr w:rsidR="00464A06" w14:paraId="35450F8E" w14:textId="77777777" w:rsidTr="00BC22D1">
        <w:trPr>
          <w:trHeight w:val="300"/>
        </w:trPr>
        <w:tc>
          <w:tcPr>
            <w:tcW w:w="1885" w:type="dxa"/>
            <w:shd w:val="clear" w:color="auto" w:fill="002060"/>
          </w:tcPr>
          <w:p w14:paraId="6719D007"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EITECO02</w:t>
            </w:r>
          </w:p>
        </w:tc>
        <w:tc>
          <w:tcPr>
            <w:tcW w:w="7465" w:type="dxa"/>
            <w:gridSpan w:val="2"/>
            <w:shd w:val="clear" w:color="auto" w:fill="002060"/>
          </w:tcPr>
          <w:p w14:paraId="644E9207"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KIC’s innovation, education, business creation calls</w:t>
            </w:r>
          </w:p>
        </w:tc>
      </w:tr>
      <w:tr w:rsidR="00464A06" w14:paraId="397F30D0" w14:textId="77777777" w:rsidTr="00BC22D1">
        <w:trPr>
          <w:trHeight w:val="300"/>
        </w:trPr>
        <w:tc>
          <w:tcPr>
            <w:tcW w:w="5485" w:type="dxa"/>
            <w:gridSpan w:val="2"/>
            <w:vMerge w:val="restart"/>
          </w:tcPr>
          <w:p w14:paraId="35727B7A"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03F7B65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EIT Community Officers are requested to strategically scout and secure new applicants, applications to the calls published by the KICs in the areas of innovation, education and business creation and ensure participants at KICs education programmes.</w:t>
            </w:r>
          </w:p>
          <w:p w14:paraId="511AD1DD" w14:textId="77777777" w:rsidR="00464A06" w:rsidRPr="00423AF0" w:rsidRDefault="00464A06" w:rsidP="00BC22D1">
            <w:pPr>
              <w:spacing w:line="259" w:lineRule="auto"/>
              <w:jc w:val="both"/>
              <w:rPr>
                <w:rFonts w:ascii="Titillium" w:eastAsia="Titillium" w:hAnsi="Titillium" w:cs="Titillium"/>
                <w:lang w:val="en-GB"/>
              </w:rPr>
            </w:pPr>
          </w:p>
        </w:tc>
        <w:tc>
          <w:tcPr>
            <w:tcW w:w="3865" w:type="dxa"/>
          </w:tcPr>
          <w:p w14:paraId="0CF1F636"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20400DF5" w14:textId="77777777" w:rsidTr="00BC22D1">
        <w:trPr>
          <w:trHeight w:val="300"/>
        </w:trPr>
        <w:tc>
          <w:tcPr>
            <w:tcW w:w="5485" w:type="dxa"/>
            <w:gridSpan w:val="2"/>
            <w:vMerge/>
          </w:tcPr>
          <w:p w14:paraId="5F806212" w14:textId="77777777" w:rsidR="00464A06" w:rsidRDefault="00464A06" w:rsidP="00BC22D1"/>
        </w:tc>
        <w:tc>
          <w:tcPr>
            <w:tcW w:w="3865" w:type="dxa"/>
            <w:vAlign w:val="center"/>
          </w:tcPr>
          <w:p w14:paraId="5B3F2374"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KIC calls and training programme participant list with the submitted structured data</w:t>
            </w:r>
          </w:p>
        </w:tc>
      </w:tr>
      <w:tr w:rsidR="00464A06" w14:paraId="1972DB80" w14:textId="77777777" w:rsidTr="00BC22D1">
        <w:trPr>
          <w:trHeight w:val="300"/>
        </w:trPr>
        <w:tc>
          <w:tcPr>
            <w:tcW w:w="5485" w:type="dxa"/>
            <w:gridSpan w:val="2"/>
            <w:vMerge/>
          </w:tcPr>
          <w:p w14:paraId="54642A4C" w14:textId="77777777" w:rsidR="00464A06" w:rsidRPr="00423AF0" w:rsidRDefault="00464A06" w:rsidP="00BC22D1">
            <w:pPr>
              <w:rPr>
                <w:lang w:val="en-GB"/>
              </w:rPr>
            </w:pPr>
          </w:p>
        </w:tc>
        <w:tc>
          <w:tcPr>
            <w:tcW w:w="3865" w:type="dxa"/>
          </w:tcPr>
          <w:p w14:paraId="21B78B97"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 or structured data:</w:t>
            </w:r>
          </w:p>
        </w:tc>
      </w:tr>
      <w:tr w:rsidR="00464A06" w14:paraId="4C2C837F" w14:textId="77777777" w:rsidTr="00BC22D1">
        <w:trPr>
          <w:trHeight w:val="300"/>
        </w:trPr>
        <w:tc>
          <w:tcPr>
            <w:tcW w:w="5485" w:type="dxa"/>
            <w:gridSpan w:val="2"/>
            <w:vMerge/>
          </w:tcPr>
          <w:p w14:paraId="665B8774" w14:textId="77777777" w:rsidR="00464A06" w:rsidRDefault="00464A06" w:rsidP="00BC22D1"/>
        </w:tc>
        <w:tc>
          <w:tcPr>
            <w:tcW w:w="3865" w:type="dxa"/>
          </w:tcPr>
          <w:p w14:paraId="606851B1"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Name of the applicant</w:t>
            </w:r>
          </w:p>
          <w:p w14:paraId="1D12EA5D"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Title of the KIC call</w:t>
            </w:r>
          </w:p>
          <w:p w14:paraId="79B5BD4F"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62BD8C75" w14:textId="77777777" w:rsidR="00464A06" w:rsidRDefault="00464A06" w:rsidP="00464A06">
      <w:pPr>
        <w:jc w:val="both"/>
        <w:rPr>
          <w:rFonts w:ascii="Titillium" w:eastAsia="Titillium" w:hAnsi="Titillium" w:cs="Titillium"/>
        </w:rPr>
      </w:pPr>
    </w:p>
    <w:tbl>
      <w:tblPr>
        <w:tblStyle w:val="Taulaambquadrcula"/>
        <w:tblW w:w="0" w:type="auto"/>
        <w:tblLook w:val="04A0" w:firstRow="1" w:lastRow="0" w:firstColumn="1" w:lastColumn="0" w:noHBand="0" w:noVBand="1"/>
      </w:tblPr>
      <w:tblGrid>
        <w:gridCol w:w="1816"/>
        <w:gridCol w:w="3138"/>
        <w:gridCol w:w="3539"/>
      </w:tblGrid>
      <w:tr w:rsidR="00464A06" w14:paraId="11F35D35" w14:textId="77777777" w:rsidTr="00BC22D1">
        <w:tc>
          <w:tcPr>
            <w:tcW w:w="1885" w:type="dxa"/>
            <w:shd w:val="clear" w:color="auto" w:fill="002060"/>
          </w:tcPr>
          <w:p w14:paraId="1CC23EDF" w14:textId="77777777" w:rsidR="00464A06" w:rsidRPr="00AA31C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EITECO03</w:t>
            </w:r>
          </w:p>
        </w:tc>
        <w:tc>
          <w:tcPr>
            <w:tcW w:w="7465" w:type="dxa"/>
            <w:gridSpan w:val="2"/>
            <w:shd w:val="clear" w:color="auto" w:fill="002060"/>
          </w:tcPr>
          <w:p w14:paraId="62F2A6BC"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RI&amp;I Cluster</w:t>
            </w:r>
          </w:p>
        </w:tc>
      </w:tr>
      <w:tr w:rsidR="00464A06" w14:paraId="2EBBDFEC" w14:textId="77777777" w:rsidTr="00BC22D1">
        <w:tc>
          <w:tcPr>
            <w:tcW w:w="5485" w:type="dxa"/>
            <w:gridSpan w:val="2"/>
            <w:vMerge w:val="restart"/>
          </w:tcPr>
          <w:p w14:paraId="404B64BD"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27648020"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EIT Community Officers are requested to support revenue generation and secure funding to contribute to the financial sustainability of the RI&amp;I Cluster by supporting EIT Jumpstarter, Global Outreach and Regional Innovation Booster programmes supported startups, scaleups to attract investment, local funding. EIT Community Officers are also requested to contribute selling the Global Outreach services/modules.</w:t>
            </w:r>
          </w:p>
        </w:tc>
        <w:tc>
          <w:tcPr>
            <w:tcW w:w="3865" w:type="dxa"/>
          </w:tcPr>
          <w:p w14:paraId="559420D1"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082993B8" w14:textId="77777777" w:rsidTr="00BC22D1">
        <w:trPr>
          <w:trHeight w:val="532"/>
        </w:trPr>
        <w:tc>
          <w:tcPr>
            <w:tcW w:w="5485" w:type="dxa"/>
            <w:gridSpan w:val="2"/>
            <w:vMerge/>
          </w:tcPr>
          <w:p w14:paraId="788A2D15" w14:textId="77777777" w:rsidR="00464A06" w:rsidRDefault="00464A06" w:rsidP="00BC22D1">
            <w:pPr>
              <w:jc w:val="both"/>
            </w:pPr>
          </w:p>
        </w:tc>
        <w:tc>
          <w:tcPr>
            <w:tcW w:w="3865" w:type="dxa"/>
            <w:vAlign w:val="center"/>
          </w:tcPr>
          <w:p w14:paraId="67F0825A"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 xml:space="preserve">Strand 1. and 2. Signed declaration of the startup, scaleup supported by the ECO indicating the amount of investment attracted or funding raised, and the support provided by the ECO attaching any public information, term sheet or proof of the investment closed. </w:t>
            </w:r>
          </w:p>
          <w:p w14:paraId="10C59D20"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Global Outreach</w:t>
            </w:r>
          </w:p>
        </w:tc>
      </w:tr>
      <w:tr w:rsidR="00464A06" w14:paraId="55F3C389" w14:textId="77777777" w:rsidTr="00BC22D1">
        <w:trPr>
          <w:trHeight w:val="296"/>
        </w:trPr>
        <w:tc>
          <w:tcPr>
            <w:tcW w:w="5485" w:type="dxa"/>
            <w:gridSpan w:val="2"/>
            <w:vMerge/>
          </w:tcPr>
          <w:p w14:paraId="3E14AB12" w14:textId="77777777" w:rsidR="00464A06" w:rsidRPr="00423AF0" w:rsidRDefault="00464A06" w:rsidP="00BC22D1">
            <w:pPr>
              <w:jc w:val="both"/>
              <w:rPr>
                <w:lang w:val="en-GB"/>
              </w:rPr>
            </w:pPr>
          </w:p>
        </w:tc>
        <w:tc>
          <w:tcPr>
            <w:tcW w:w="3865" w:type="dxa"/>
          </w:tcPr>
          <w:p w14:paraId="39F3B857"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3FE80736" w14:textId="77777777" w:rsidTr="00BC22D1">
        <w:trPr>
          <w:trHeight w:val="532"/>
        </w:trPr>
        <w:tc>
          <w:tcPr>
            <w:tcW w:w="5485" w:type="dxa"/>
            <w:gridSpan w:val="2"/>
            <w:vMerge/>
          </w:tcPr>
          <w:p w14:paraId="03A1481F" w14:textId="77777777" w:rsidR="00464A06" w:rsidRDefault="00464A06" w:rsidP="00BC22D1">
            <w:pPr>
              <w:jc w:val="both"/>
            </w:pPr>
          </w:p>
        </w:tc>
        <w:tc>
          <w:tcPr>
            <w:tcW w:w="3865" w:type="dxa"/>
          </w:tcPr>
          <w:p w14:paraId="5D588F92"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startup, scaleup supported</w:t>
            </w:r>
          </w:p>
          <w:p w14:paraId="2988CABA" w14:textId="77777777" w:rsidR="00464A06" w:rsidRPr="00AA31C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Cluster programme </w:t>
            </w:r>
          </w:p>
          <w:p w14:paraId="7FD6109E" w14:textId="77777777" w:rsidR="00464A06" w:rsidRPr="00423AF0" w:rsidRDefault="00464A06" w:rsidP="00464A06">
            <w:pPr>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Amount of investment attracted, funding raised, revenue generated</w:t>
            </w:r>
          </w:p>
          <w:p w14:paraId="52486F70" w14:textId="77777777" w:rsidR="00464A06" w:rsidRPr="00AA31C6" w:rsidRDefault="00464A06" w:rsidP="00464A06">
            <w:pPr>
              <w:pStyle w:val="Pargrafdellista"/>
              <w:numPr>
                <w:ilvl w:val="0"/>
                <w:numId w:val="41"/>
              </w:numPr>
              <w:spacing w:after="0" w:line="240" w:lineRule="auto"/>
              <w:rPr>
                <w:rFonts w:ascii="Titillium" w:eastAsia="Titillium" w:hAnsi="Titillium" w:cs="Titillium"/>
              </w:rPr>
            </w:pPr>
            <w:r w:rsidRPr="636C4F36">
              <w:rPr>
                <w:rFonts w:ascii="Titillium" w:eastAsia="Titillium" w:hAnsi="Titillium" w:cs="Titillium"/>
                <w:szCs w:val="20"/>
              </w:rPr>
              <w:t>Means of support provided</w:t>
            </w:r>
          </w:p>
        </w:tc>
      </w:tr>
    </w:tbl>
    <w:p w14:paraId="43696F32" w14:textId="77777777" w:rsidR="00464A06" w:rsidRDefault="00464A06" w:rsidP="00464A06">
      <w:pPr>
        <w:jc w:val="both"/>
        <w:rPr>
          <w:rFonts w:ascii="Titillium" w:eastAsia="Titillium" w:hAnsi="Titillium" w:cs="Titillium"/>
        </w:rPr>
      </w:pPr>
    </w:p>
    <w:tbl>
      <w:tblPr>
        <w:tblStyle w:val="Taulaambquadrcula"/>
        <w:tblW w:w="0" w:type="auto"/>
        <w:tblLook w:val="04A0" w:firstRow="1" w:lastRow="0" w:firstColumn="1" w:lastColumn="0" w:noHBand="0" w:noVBand="1"/>
      </w:tblPr>
      <w:tblGrid>
        <w:gridCol w:w="1828"/>
        <w:gridCol w:w="3070"/>
        <w:gridCol w:w="3595"/>
      </w:tblGrid>
      <w:tr w:rsidR="00464A06" w14:paraId="59239DFF" w14:textId="77777777" w:rsidTr="00BC22D1">
        <w:trPr>
          <w:trHeight w:val="300"/>
        </w:trPr>
        <w:tc>
          <w:tcPr>
            <w:tcW w:w="1885" w:type="dxa"/>
            <w:shd w:val="clear" w:color="auto" w:fill="002060"/>
          </w:tcPr>
          <w:p w14:paraId="3EDB9D11"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EITECO04</w:t>
            </w:r>
          </w:p>
        </w:tc>
        <w:tc>
          <w:tcPr>
            <w:tcW w:w="7465" w:type="dxa"/>
            <w:gridSpan w:val="2"/>
            <w:shd w:val="clear" w:color="auto" w:fill="002060"/>
          </w:tcPr>
          <w:p w14:paraId="0A256F18"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KICs</w:t>
            </w:r>
          </w:p>
        </w:tc>
      </w:tr>
      <w:tr w:rsidR="00464A06" w14:paraId="00A8EE9E" w14:textId="77777777" w:rsidTr="00BC22D1">
        <w:trPr>
          <w:trHeight w:val="300"/>
        </w:trPr>
        <w:tc>
          <w:tcPr>
            <w:tcW w:w="5485" w:type="dxa"/>
            <w:gridSpan w:val="2"/>
            <w:vMerge w:val="restart"/>
          </w:tcPr>
          <w:p w14:paraId="467114E8"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7B3BD6E1"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support revenue generation and secure funding to contribute to the financial sustainability of the KICs by introducing leads for new membership fee paying entities (or potential shareholders to KICs), co-investment/revenues to KICs portfolio startups or selling KICs services locally. </w:t>
            </w:r>
          </w:p>
        </w:tc>
        <w:tc>
          <w:tcPr>
            <w:tcW w:w="3865" w:type="dxa"/>
          </w:tcPr>
          <w:p w14:paraId="41AF6455"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40941589" w14:textId="77777777" w:rsidTr="00BC22D1">
        <w:trPr>
          <w:trHeight w:val="300"/>
        </w:trPr>
        <w:tc>
          <w:tcPr>
            <w:tcW w:w="5485" w:type="dxa"/>
            <w:gridSpan w:val="2"/>
            <w:vMerge/>
          </w:tcPr>
          <w:p w14:paraId="6BD6DFCA" w14:textId="77777777" w:rsidR="00464A06" w:rsidRDefault="00464A06" w:rsidP="00BC22D1"/>
        </w:tc>
        <w:tc>
          <w:tcPr>
            <w:tcW w:w="3865" w:type="dxa"/>
            <w:vAlign w:val="center"/>
          </w:tcPr>
          <w:p w14:paraId="2D5431A9"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1. Warm introductory meetings with the participation of KIC or filling out dedicated form as per the Cluster assignment</w:t>
            </w:r>
          </w:p>
          <w:p w14:paraId="1201E75B"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2. Signed declaration of the startup/scaleup supported by the ECO indicating the amount of investment or revenue attracted, and the support provided by the ECO, attaching any public information, term sheet or proof of the investment/revenue closed.</w:t>
            </w:r>
          </w:p>
          <w:p w14:paraId="6E15420E"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the KIC for the service, or proof of service acceptance.</w:t>
            </w:r>
          </w:p>
        </w:tc>
      </w:tr>
      <w:tr w:rsidR="00464A06" w14:paraId="77593C04" w14:textId="77777777" w:rsidTr="00BC22D1">
        <w:trPr>
          <w:trHeight w:val="300"/>
        </w:trPr>
        <w:tc>
          <w:tcPr>
            <w:tcW w:w="5485" w:type="dxa"/>
            <w:gridSpan w:val="2"/>
            <w:vMerge/>
          </w:tcPr>
          <w:p w14:paraId="0C0B0BC1" w14:textId="77777777" w:rsidR="00464A06" w:rsidRPr="00423AF0" w:rsidRDefault="00464A06" w:rsidP="00BC22D1">
            <w:pPr>
              <w:rPr>
                <w:lang w:val="en-GB"/>
              </w:rPr>
            </w:pPr>
          </w:p>
        </w:tc>
        <w:tc>
          <w:tcPr>
            <w:tcW w:w="3865" w:type="dxa"/>
          </w:tcPr>
          <w:p w14:paraId="1ECE9C91"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40F11A8D" w14:textId="77777777" w:rsidTr="00BC22D1">
        <w:trPr>
          <w:trHeight w:val="300"/>
        </w:trPr>
        <w:tc>
          <w:tcPr>
            <w:tcW w:w="5485" w:type="dxa"/>
            <w:gridSpan w:val="2"/>
            <w:vMerge/>
          </w:tcPr>
          <w:p w14:paraId="35606163" w14:textId="77777777" w:rsidR="00464A06" w:rsidRDefault="00464A06" w:rsidP="00BC22D1"/>
        </w:tc>
        <w:tc>
          <w:tcPr>
            <w:tcW w:w="3865" w:type="dxa"/>
          </w:tcPr>
          <w:p w14:paraId="4D84D739" w14:textId="77777777" w:rsidR="00464A06" w:rsidRPr="00423AF0" w:rsidRDefault="00464A06" w:rsidP="00464A06">
            <w:pPr>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Representative and organisation of the lead</w:t>
            </w:r>
          </w:p>
          <w:p w14:paraId="7C4191C0"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KIC </w:t>
            </w:r>
          </w:p>
          <w:p w14:paraId="7A81701A"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Amount of investment/revenue attracted, funding raised, revenue generated</w:t>
            </w:r>
          </w:p>
          <w:p w14:paraId="52B6914D" w14:textId="77777777" w:rsidR="00464A06" w:rsidRPr="00423AF0" w:rsidRDefault="00464A06" w:rsidP="00BC22D1">
            <w:pPr>
              <w:pStyle w:val="Pargrafdellista"/>
              <w:rPr>
                <w:rFonts w:ascii="Titillium" w:eastAsia="Titillium" w:hAnsi="Titillium" w:cs="Titillium"/>
                <w:szCs w:val="20"/>
                <w:lang w:val="en-GB"/>
              </w:rPr>
            </w:pPr>
          </w:p>
        </w:tc>
      </w:tr>
    </w:tbl>
    <w:p w14:paraId="7C947C6B" w14:textId="77777777" w:rsidR="00464A06" w:rsidRDefault="00464A06" w:rsidP="00464A06">
      <w:pPr>
        <w:jc w:val="both"/>
        <w:rPr>
          <w:rFonts w:ascii="Titillium" w:eastAsia="Titillium" w:hAnsi="Titillium" w:cs="Titillium"/>
        </w:rPr>
      </w:pPr>
    </w:p>
    <w:tbl>
      <w:tblPr>
        <w:tblStyle w:val="Taulaambquadrcula"/>
        <w:tblW w:w="0" w:type="auto"/>
        <w:tblLook w:val="04A0" w:firstRow="1" w:lastRow="0" w:firstColumn="1" w:lastColumn="0" w:noHBand="0" w:noVBand="1"/>
      </w:tblPr>
      <w:tblGrid>
        <w:gridCol w:w="1788"/>
        <w:gridCol w:w="3122"/>
        <w:gridCol w:w="3583"/>
      </w:tblGrid>
      <w:tr w:rsidR="00464A06" w14:paraId="0296F65B" w14:textId="77777777" w:rsidTr="00BC22D1">
        <w:trPr>
          <w:trHeight w:val="300"/>
        </w:trPr>
        <w:tc>
          <w:tcPr>
            <w:tcW w:w="1885" w:type="dxa"/>
            <w:shd w:val="clear" w:color="auto" w:fill="002060"/>
          </w:tcPr>
          <w:p w14:paraId="677615F8"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EITECO05</w:t>
            </w:r>
          </w:p>
        </w:tc>
        <w:tc>
          <w:tcPr>
            <w:tcW w:w="7465" w:type="dxa"/>
            <w:gridSpan w:val="2"/>
            <w:shd w:val="clear" w:color="auto" w:fill="002060"/>
          </w:tcPr>
          <w:p w14:paraId="3835CA19"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External funding raised for additional EIT Community Hub activity</w:t>
            </w:r>
          </w:p>
        </w:tc>
      </w:tr>
      <w:tr w:rsidR="00464A06" w14:paraId="28F1BE11" w14:textId="77777777" w:rsidTr="00BC22D1">
        <w:trPr>
          <w:trHeight w:val="300"/>
        </w:trPr>
        <w:tc>
          <w:tcPr>
            <w:tcW w:w="5485" w:type="dxa"/>
            <w:gridSpan w:val="2"/>
            <w:vMerge w:val="restart"/>
          </w:tcPr>
          <w:p w14:paraId="7475A94B"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60EC90D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raise external funding for additional EIT Community Hub activities (including its Members signatories of the governance </w:t>
            </w:r>
            <w:r w:rsidRPr="00423AF0">
              <w:rPr>
                <w:rFonts w:ascii="Titillium" w:eastAsia="Titillium" w:hAnsi="Titillium" w:cs="Titillium"/>
                <w:lang w:val="en-GB"/>
              </w:rPr>
              <w:lastRenderedPageBreak/>
              <w:t>MoU) via submitting proposals and implement projects  through other (non-EIT) EU / national / regional funds. These projects shall (1) involve local authorities and institutions to strengthen synergies with EIT/EIT KICs or (2) target local talents which could be supported via the EIT Community opportunities or (3) support general EIT Community actions or (4) joint activities amongst the KICs to implement locally. These projects preferably shall align with local RIS3 priorities. The scope of the project should be defined by the EIT Community Hub based on the ecosystem needs and the competence of the EIT Community Officer.</w:t>
            </w:r>
          </w:p>
          <w:p w14:paraId="6E7D7CEB" w14:textId="77777777" w:rsidR="00464A06" w:rsidRPr="00423AF0" w:rsidRDefault="00464A06" w:rsidP="00BC22D1">
            <w:pPr>
              <w:jc w:val="both"/>
              <w:rPr>
                <w:rFonts w:ascii="Titillium" w:eastAsia="Titillium" w:hAnsi="Titillium" w:cs="Titillium"/>
                <w:lang w:val="en-GB"/>
              </w:rPr>
            </w:pPr>
          </w:p>
          <w:p w14:paraId="5F2E2407" w14:textId="77777777" w:rsidR="00464A06" w:rsidRPr="00423AF0" w:rsidRDefault="00464A06" w:rsidP="00BC22D1">
            <w:pPr>
              <w:jc w:val="both"/>
              <w:rPr>
                <w:rFonts w:ascii="Titillium" w:eastAsia="Titillium" w:hAnsi="Titillium" w:cs="Titillium"/>
                <w:lang w:val="en-GB"/>
              </w:rPr>
            </w:pPr>
          </w:p>
        </w:tc>
        <w:tc>
          <w:tcPr>
            <w:tcW w:w="3865" w:type="dxa"/>
          </w:tcPr>
          <w:p w14:paraId="082906AD"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lastRenderedPageBreak/>
              <w:t>Evidence:</w:t>
            </w:r>
          </w:p>
        </w:tc>
      </w:tr>
      <w:tr w:rsidR="00464A06" w14:paraId="32D01F39" w14:textId="77777777" w:rsidTr="00BC22D1">
        <w:trPr>
          <w:trHeight w:val="300"/>
        </w:trPr>
        <w:tc>
          <w:tcPr>
            <w:tcW w:w="5485" w:type="dxa"/>
            <w:gridSpan w:val="2"/>
            <w:vMerge/>
          </w:tcPr>
          <w:p w14:paraId="5D1553E3" w14:textId="77777777" w:rsidR="00464A06" w:rsidRDefault="00464A06" w:rsidP="00BC22D1"/>
        </w:tc>
        <w:tc>
          <w:tcPr>
            <w:tcW w:w="3865" w:type="dxa"/>
            <w:vAlign w:val="center"/>
          </w:tcPr>
          <w:p w14:paraId="164010C5"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 xml:space="preserve">Copy of the funding (grant, sponsorship, etc.) agreement, including project/activity description to the </w:t>
            </w:r>
            <w:r w:rsidRPr="00423AF0">
              <w:rPr>
                <w:rFonts w:ascii="Titillium" w:eastAsia="Titillium" w:hAnsi="Titillium" w:cs="Titillium"/>
                <w:szCs w:val="20"/>
                <w:lang w:val="en-GB"/>
              </w:rPr>
              <w:lastRenderedPageBreak/>
              <w:t xml:space="preserve">secured funding with the description of the activities clearly in line with the EIT core KPIs </w:t>
            </w:r>
          </w:p>
        </w:tc>
      </w:tr>
      <w:tr w:rsidR="00464A06" w14:paraId="239BBCE9" w14:textId="77777777" w:rsidTr="00BC22D1">
        <w:trPr>
          <w:trHeight w:val="300"/>
        </w:trPr>
        <w:tc>
          <w:tcPr>
            <w:tcW w:w="5485" w:type="dxa"/>
            <w:gridSpan w:val="2"/>
            <w:vMerge/>
          </w:tcPr>
          <w:p w14:paraId="754A9662" w14:textId="77777777" w:rsidR="00464A06" w:rsidRPr="00423AF0" w:rsidRDefault="00464A06" w:rsidP="00BC22D1">
            <w:pPr>
              <w:rPr>
                <w:lang w:val="en-GB"/>
              </w:rPr>
            </w:pPr>
          </w:p>
        </w:tc>
        <w:tc>
          <w:tcPr>
            <w:tcW w:w="3865" w:type="dxa"/>
          </w:tcPr>
          <w:p w14:paraId="49783526"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32DD54ED" w14:textId="77777777" w:rsidTr="00BC22D1">
        <w:trPr>
          <w:trHeight w:val="300"/>
        </w:trPr>
        <w:tc>
          <w:tcPr>
            <w:tcW w:w="5485" w:type="dxa"/>
            <w:gridSpan w:val="2"/>
            <w:vMerge/>
          </w:tcPr>
          <w:p w14:paraId="28AB02C6" w14:textId="77777777" w:rsidR="00464A06" w:rsidRDefault="00464A06" w:rsidP="00BC22D1"/>
        </w:tc>
        <w:tc>
          <w:tcPr>
            <w:tcW w:w="3865" w:type="dxa"/>
          </w:tcPr>
          <w:p w14:paraId="43962E63"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Amount of funding raised</w:t>
            </w:r>
          </w:p>
          <w:p w14:paraId="737E583D"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Funding organisation</w:t>
            </w:r>
          </w:p>
          <w:p w14:paraId="510C18EA" w14:textId="77777777" w:rsidR="00464A06" w:rsidRPr="00423AF0" w:rsidRDefault="00464A06" w:rsidP="00464A06">
            <w:pPr>
              <w:pStyle w:val="Pargrafdellista"/>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EIT CH members involved, if any (at least 1 except white spot countries)</w:t>
            </w:r>
          </w:p>
          <w:p w14:paraId="5824B37B" w14:textId="77777777" w:rsidR="00464A06" w:rsidRDefault="00464A06" w:rsidP="00464A06">
            <w:pPr>
              <w:pStyle w:val="Pargrafdellista"/>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Type of funding</w:t>
            </w:r>
          </w:p>
          <w:p w14:paraId="130653CC" w14:textId="77777777" w:rsidR="00464A06" w:rsidRPr="00423AF0" w:rsidRDefault="00464A06" w:rsidP="00464A06">
            <w:pPr>
              <w:pStyle w:val="Pargrafdellista"/>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EIT relevance of the project/activity</w:t>
            </w:r>
          </w:p>
          <w:p w14:paraId="74C971FA" w14:textId="77777777" w:rsidR="00464A06" w:rsidRDefault="00464A06" w:rsidP="00464A06">
            <w:pPr>
              <w:pStyle w:val="Pargrafdellista"/>
              <w:numPr>
                <w:ilvl w:val="0"/>
                <w:numId w:val="41"/>
              </w:numPr>
              <w:spacing w:after="0" w:line="240" w:lineRule="auto"/>
              <w:rPr>
                <w:rFonts w:ascii="Titillium" w:eastAsia="Titillium" w:hAnsi="Titillium" w:cs="Titillium"/>
              </w:rPr>
            </w:pPr>
            <w:r w:rsidRPr="636C4F36">
              <w:rPr>
                <w:rFonts w:ascii="Titillium" w:eastAsia="Titillium" w:hAnsi="Titillium" w:cs="Titillium"/>
                <w:szCs w:val="20"/>
              </w:rPr>
              <w:t>Activity(ies) funded</w:t>
            </w:r>
          </w:p>
          <w:p w14:paraId="6F267EDA" w14:textId="77777777" w:rsidR="00464A06" w:rsidRDefault="00464A06" w:rsidP="00BC22D1">
            <w:pPr>
              <w:pStyle w:val="Pargrafdellista"/>
              <w:rPr>
                <w:rFonts w:ascii="Titillium" w:eastAsia="Titillium" w:hAnsi="Titillium" w:cs="Titillium"/>
                <w:szCs w:val="20"/>
              </w:rPr>
            </w:pPr>
          </w:p>
        </w:tc>
      </w:tr>
    </w:tbl>
    <w:p w14:paraId="700FD8F1" w14:textId="77777777" w:rsidR="00464A06" w:rsidRDefault="00464A06" w:rsidP="00464A06">
      <w:pPr>
        <w:pStyle w:val="Ttol2"/>
        <w:jc w:val="both"/>
        <w:rPr>
          <w:rFonts w:ascii="Titillium" w:eastAsia="Titillium" w:hAnsi="Titillium" w:cs="Titillium"/>
        </w:rPr>
      </w:pPr>
    </w:p>
    <w:p w14:paraId="2B029561" w14:textId="77777777" w:rsidR="00464A06" w:rsidRPr="00D90AD3" w:rsidRDefault="00464A06" w:rsidP="00464A06">
      <w:pPr>
        <w:jc w:val="both"/>
        <w:rPr>
          <w:rFonts w:asciiTheme="minorHAnsi" w:hAnsiTheme="minorHAnsi"/>
          <w:b/>
          <w:bCs/>
          <w:sz w:val="24"/>
          <w:szCs w:val="24"/>
        </w:rPr>
      </w:pPr>
      <w:bookmarkStart w:id="5" w:name="_Toc1253921483"/>
      <w:bookmarkStart w:id="6" w:name="_Toc205312697"/>
      <w:r w:rsidRPr="7295751F">
        <w:rPr>
          <w:rFonts w:asciiTheme="minorHAnsi" w:hAnsiTheme="minorHAnsi"/>
          <w:b/>
          <w:bCs/>
          <w:sz w:val="24"/>
          <w:szCs w:val="24"/>
        </w:rPr>
        <w:t>3.2. Responsibility areas of EIT Community Officers</w:t>
      </w:r>
      <w:bookmarkEnd w:id="5"/>
      <w:bookmarkEnd w:id="6"/>
    </w:p>
    <w:p w14:paraId="1D297F96"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responsibility areas of the EIT Community Officers depend on the EIT KICs representation in the country. </w:t>
      </w:r>
    </w:p>
    <w:p w14:paraId="5C104CB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There are countries where the EIT KICs on the ground representation can be very broad, and there are different stakeholders representing the knowledge triangle of the KICs, EIT local KIC representatives (former RIS Hubs) and Co-Location Centers, thematic experts established. In these countries and territories (</w:t>
      </w:r>
      <w:r w:rsidRPr="636C4F36">
        <w:rPr>
          <w:rFonts w:ascii="Titillium" w:eastAsia="Titillium" w:hAnsi="Titillium" w:cs="Titillium"/>
          <w:b/>
          <w:bCs/>
        </w:rPr>
        <w:t>“well established countries”</w:t>
      </w:r>
      <w:r w:rsidRPr="636C4F36">
        <w:rPr>
          <w:rFonts w:ascii="Titillium" w:eastAsia="Titillium" w:hAnsi="Titillium" w:cs="Titillium"/>
        </w:rPr>
        <w:t xml:space="preserve">), the EIT Community is well populated, there is potential for cross-KIC activities but less for individual-KIC support, and the EIT Community Officer has a more coordinative role, avoiding overlap with existing KIC experts (the “EIT Community Hub members”). </w:t>
      </w:r>
    </w:p>
    <w:p w14:paraId="785B332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There is another set of countries and territories where there is no or little on-the-ground EIT KIC representation; however, stakeholders relevant to the EIT Community are ready to be engaged and actively take part in EIT activities and the building of the local ecosystem and integrate the knowledge triangle. These countries known as “</w:t>
      </w:r>
      <w:r w:rsidRPr="636C4F36">
        <w:rPr>
          <w:rFonts w:ascii="Titillium" w:eastAsia="Titillium" w:hAnsi="Titillium" w:cs="Titillium"/>
          <w:b/>
          <w:bCs/>
        </w:rPr>
        <w:t>white-spot</w:t>
      </w:r>
      <w:r w:rsidRPr="636C4F36">
        <w:rPr>
          <w:rFonts w:ascii="Titillium" w:eastAsia="Titillium" w:hAnsi="Titillium" w:cs="Titillium"/>
        </w:rPr>
        <w:t xml:space="preserve">” countries with no significant KIC presence. In white-spot countries, the EIT Community Officer will have a deeper representative role. </w:t>
      </w:r>
    </w:p>
    <w:p w14:paraId="5DC5A3D3" w14:textId="3DC70D5D" w:rsidR="00464A06" w:rsidRDefault="00464A06" w:rsidP="00464A06">
      <w:pPr>
        <w:spacing w:before="120"/>
        <w:jc w:val="both"/>
        <w:rPr>
          <w:rFonts w:ascii="Titillium" w:eastAsia="Titillium" w:hAnsi="Titillium" w:cs="Titillium"/>
        </w:rPr>
      </w:pPr>
      <w:r w:rsidRPr="1F95E526">
        <w:rPr>
          <w:rFonts w:ascii="Titillium" w:eastAsia="Titillium" w:hAnsi="Titillium" w:cs="Titillium"/>
        </w:rPr>
        <w:t>These major roles are important to distinguish because both the KPI targets expectation and how to monitor activities will differ in “established” and “white-spot” countries. The tables below set the targets to be achieved on an annual basis by the ECO depending if it operates in a white-spot or a well-established country. For clarity, the countries</w:t>
      </w:r>
      <w:r w:rsidRPr="1F95E526">
        <w:rPr>
          <w:rStyle w:val="Refernciadenotaapeudepgina"/>
          <w:rFonts w:ascii="Titillium" w:eastAsia="Titillium" w:hAnsi="Titillium" w:cs="Titillium"/>
        </w:rPr>
        <w:footnoteReference w:id="3"/>
      </w:r>
      <w:r w:rsidRPr="1F95E526">
        <w:rPr>
          <w:rFonts w:ascii="Titillium" w:eastAsia="Titillium" w:hAnsi="Titillium" w:cs="Titillium"/>
        </w:rPr>
        <w:t xml:space="preserve"> that are deemed to be white-spot are: Albania, </w:t>
      </w:r>
      <w:r w:rsidR="00D803A8">
        <w:rPr>
          <w:rFonts w:ascii="Titillium" w:eastAsia="Titillium" w:hAnsi="Titillium" w:cs="Titillium"/>
        </w:rPr>
        <w:t xml:space="preserve">Bosnia, </w:t>
      </w:r>
      <w:r>
        <w:rPr>
          <w:rFonts w:ascii="Titillium" w:eastAsia="Titillium" w:hAnsi="Titillium" w:cs="Titillium"/>
        </w:rPr>
        <w:t>Bulgaria</w:t>
      </w:r>
      <w:r w:rsidRPr="1F95E526">
        <w:rPr>
          <w:rFonts w:ascii="Titillium" w:eastAsia="Titillium" w:hAnsi="Titillium" w:cs="Titillium"/>
        </w:rPr>
        <w:t xml:space="preserve">, Cyprus, Malta, Moldova, </w:t>
      </w:r>
      <w:r>
        <w:rPr>
          <w:rFonts w:ascii="Titillium" w:eastAsia="Titillium" w:hAnsi="Titillium" w:cs="Titillium"/>
        </w:rPr>
        <w:t>Montenegro</w:t>
      </w:r>
      <w:r w:rsidRPr="1F95E526">
        <w:rPr>
          <w:rFonts w:ascii="Titillium" w:eastAsia="Titillium" w:hAnsi="Titillium" w:cs="Titillium"/>
        </w:rPr>
        <w:t xml:space="preserve">, </w:t>
      </w:r>
      <w:r>
        <w:rPr>
          <w:rFonts w:ascii="Titillium" w:eastAsia="Titillium" w:hAnsi="Titillium" w:cs="Titillium"/>
        </w:rPr>
        <w:t>North Macedonia</w:t>
      </w:r>
      <w:r w:rsidRPr="1F95E526">
        <w:rPr>
          <w:rFonts w:ascii="Titillium" w:eastAsia="Titillium" w:hAnsi="Titillium" w:cs="Titillium"/>
        </w:rPr>
        <w:t xml:space="preserve">, Serbia, </w:t>
      </w:r>
      <w:r>
        <w:rPr>
          <w:rFonts w:ascii="Titillium" w:eastAsia="Titillium" w:hAnsi="Titillium" w:cs="Titillium"/>
        </w:rPr>
        <w:t>Ukraine</w:t>
      </w:r>
      <w:r w:rsidRPr="1F95E526">
        <w:rPr>
          <w:rFonts w:ascii="Titillium" w:eastAsia="Titillium" w:hAnsi="Titillium" w:cs="Titillium"/>
        </w:rPr>
        <w:t xml:space="preserve">.  </w:t>
      </w:r>
    </w:p>
    <w:tbl>
      <w:tblPr>
        <w:tblStyle w:val="Taulaambquadrcula"/>
        <w:tblW w:w="9360" w:type="dxa"/>
        <w:tblLayout w:type="fixed"/>
        <w:tblLook w:val="06A0" w:firstRow="1" w:lastRow="0" w:firstColumn="1" w:lastColumn="0" w:noHBand="1" w:noVBand="1"/>
      </w:tblPr>
      <w:tblGrid>
        <w:gridCol w:w="2040"/>
        <w:gridCol w:w="1464"/>
        <w:gridCol w:w="1464"/>
        <w:gridCol w:w="1464"/>
        <w:gridCol w:w="1464"/>
        <w:gridCol w:w="1464"/>
      </w:tblGrid>
      <w:tr w:rsidR="00464A06" w14:paraId="25AB2EF7" w14:textId="77777777" w:rsidTr="00BC22D1">
        <w:trPr>
          <w:trHeight w:val="300"/>
        </w:trPr>
        <w:tc>
          <w:tcPr>
            <w:tcW w:w="2040" w:type="dxa"/>
            <w:shd w:val="clear" w:color="auto" w:fill="002060"/>
          </w:tcPr>
          <w:p w14:paraId="022AB4E4"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Countries</w:t>
            </w:r>
          </w:p>
        </w:tc>
        <w:tc>
          <w:tcPr>
            <w:tcW w:w="1464" w:type="dxa"/>
            <w:shd w:val="clear" w:color="auto" w:fill="002060"/>
          </w:tcPr>
          <w:p w14:paraId="3B6A3D22"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EITECO1</w:t>
            </w:r>
          </w:p>
        </w:tc>
        <w:tc>
          <w:tcPr>
            <w:tcW w:w="1464" w:type="dxa"/>
            <w:shd w:val="clear" w:color="auto" w:fill="002060"/>
          </w:tcPr>
          <w:p w14:paraId="75B824EE"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EITCO2</w:t>
            </w:r>
          </w:p>
        </w:tc>
        <w:tc>
          <w:tcPr>
            <w:tcW w:w="1464" w:type="dxa"/>
            <w:shd w:val="clear" w:color="auto" w:fill="002060"/>
          </w:tcPr>
          <w:p w14:paraId="346DBEAA"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EITCO3</w:t>
            </w:r>
          </w:p>
        </w:tc>
        <w:tc>
          <w:tcPr>
            <w:tcW w:w="1464" w:type="dxa"/>
            <w:shd w:val="clear" w:color="auto" w:fill="002060"/>
          </w:tcPr>
          <w:p w14:paraId="71385180"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EITCO4</w:t>
            </w:r>
          </w:p>
        </w:tc>
        <w:tc>
          <w:tcPr>
            <w:tcW w:w="1464" w:type="dxa"/>
            <w:shd w:val="clear" w:color="auto" w:fill="002060"/>
          </w:tcPr>
          <w:p w14:paraId="189BA239"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EITCO5</w:t>
            </w:r>
          </w:p>
        </w:tc>
      </w:tr>
      <w:tr w:rsidR="00464A06" w14:paraId="624CDC39" w14:textId="77777777" w:rsidTr="00BC22D1">
        <w:trPr>
          <w:trHeight w:val="300"/>
        </w:trPr>
        <w:tc>
          <w:tcPr>
            <w:tcW w:w="2040" w:type="dxa"/>
          </w:tcPr>
          <w:p w14:paraId="33356D6F" w14:textId="77777777" w:rsidR="00464A06" w:rsidRDefault="00464A06" w:rsidP="00BC22D1">
            <w:pPr>
              <w:rPr>
                <w:rFonts w:ascii="Titillium" w:eastAsia="Titillium" w:hAnsi="Titillium" w:cs="Titillium"/>
                <w:b/>
                <w:bCs/>
              </w:rPr>
            </w:pPr>
          </w:p>
          <w:p w14:paraId="23B3FB8A" w14:textId="77777777" w:rsidR="00464A06" w:rsidRDefault="00464A06" w:rsidP="00BC22D1">
            <w:pPr>
              <w:rPr>
                <w:rFonts w:ascii="Titillium" w:eastAsia="Titillium" w:hAnsi="Titillium" w:cs="Titillium"/>
                <w:b/>
                <w:bCs/>
              </w:rPr>
            </w:pPr>
          </w:p>
          <w:p w14:paraId="4AC5AA29" w14:textId="77777777" w:rsidR="00464A06" w:rsidRDefault="00464A06" w:rsidP="00BC22D1">
            <w:pPr>
              <w:rPr>
                <w:rFonts w:ascii="Titillium" w:eastAsia="Titillium" w:hAnsi="Titillium" w:cs="Titillium"/>
              </w:rPr>
            </w:pPr>
            <w:r w:rsidRPr="636C4F36">
              <w:rPr>
                <w:rFonts w:ascii="Titillium" w:eastAsia="Titillium" w:hAnsi="Titillium" w:cs="Titillium"/>
                <w:b/>
                <w:bCs/>
              </w:rPr>
              <w:t>Well established countries</w:t>
            </w:r>
            <w:r w:rsidRPr="636C4F36">
              <w:rPr>
                <w:rFonts w:ascii="Titillium" w:eastAsia="Titillium" w:hAnsi="Titillium" w:cs="Titillium"/>
              </w:rPr>
              <w:t xml:space="preserve"> </w:t>
            </w:r>
          </w:p>
        </w:tc>
        <w:tc>
          <w:tcPr>
            <w:tcW w:w="1464" w:type="dxa"/>
            <w:vAlign w:val="center"/>
          </w:tcPr>
          <w:p w14:paraId="1C1DB63F"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3AE55013" w14:textId="77777777" w:rsidR="00464A06" w:rsidRPr="00423AF0" w:rsidRDefault="00464A06" w:rsidP="00BC22D1">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0A3DC3CB"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7E8D02E2" w14:textId="77777777" w:rsidR="00464A06" w:rsidRPr="00423AF0" w:rsidRDefault="00464A06" w:rsidP="00BC22D1">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02B4848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r>
      <w:tr w:rsidR="00464A06" w14:paraId="4EE3A5E1" w14:textId="77777777" w:rsidTr="00BC22D1">
        <w:trPr>
          <w:trHeight w:val="300"/>
        </w:trPr>
        <w:tc>
          <w:tcPr>
            <w:tcW w:w="2040" w:type="dxa"/>
          </w:tcPr>
          <w:p w14:paraId="39A964DB" w14:textId="77777777" w:rsidR="00464A06" w:rsidRDefault="00464A06" w:rsidP="00BC22D1">
            <w:pPr>
              <w:rPr>
                <w:rFonts w:ascii="Titillium" w:eastAsia="Titillium" w:hAnsi="Titillium" w:cs="Titillium"/>
                <w:b/>
                <w:bCs/>
              </w:rPr>
            </w:pPr>
          </w:p>
          <w:p w14:paraId="328EF07D" w14:textId="77777777" w:rsidR="00464A06" w:rsidRDefault="00464A06" w:rsidP="00BC22D1">
            <w:pPr>
              <w:rPr>
                <w:rFonts w:ascii="Titillium" w:eastAsia="Titillium" w:hAnsi="Titillium" w:cs="Titillium"/>
                <w:b/>
                <w:bCs/>
              </w:rPr>
            </w:pPr>
          </w:p>
          <w:p w14:paraId="30ACB777"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White-spot countries</w:t>
            </w:r>
          </w:p>
        </w:tc>
        <w:tc>
          <w:tcPr>
            <w:tcW w:w="1464" w:type="dxa"/>
            <w:vAlign w:val="center"/>
          </w:tcPr>
          <w:p w14:paraId="6D0711B7" w14:textId="77777777" w:rsidR="00464A06" w:rsidRDefault="00464A06" w:rsidP="00BC22D1">
            <w:pPr>
              <w:jc w:val="center"/>
              <w:rPr>
                <w:rFonts w:ascii="Titillium" w:eastAsia="Titillium" w:hAnsi="Titillium" w:cs="Titillium"/>
              </w:rPr>
            </w:pPr>
          </w:p>
          <w:p w14:paraId="433F903E" w14:textId="77777777" w:rsidR="00464A06" w:rsidRDefault="00464A06" w:rsidP="00BC22D1">
            <w:pPr>
              <w:jc w:val="center"/>
              <w:rPr>
                <w:rFonts w:ascii="Titillium" w:eastAsia="Titillium" w:hAnsi="Titillium" w:cs="Titillium"/>
              </w:rPr>
            </w:pPr>
          </w:p>
          <w:p w14:paraId="788D709D"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p w14:paraId="65262BEC" w14:textId="77777777" w:rsidR="00464A06" w:rsidRDefault="00464A06" w:rsidP="00BC22D1">
            <w:pPr>
              <w:jc w:val="center"/>
              <w:rPr>
                <w:rFonts w:ascii="Titillium" w:eastAsia="Titillium" w:hAnsi="Titillium" w:cs="Titillium"/>
              </w:rPr>
            </w:pPr>
          </w:p>
          <w:p w14:paraId="046FE45D" w14:textId="77777777" w:rsidR="00464A06" w:rsidRDefault="00464A06" w:rsidP="00BC22D1">
            <w:pPr>
              <w:jc w:val="center"/>
              <w:rPr>
                <w:rFonts w:ascii="Titillium" w:eastAsia="Titillium" w:hAnsi="Titillium" w:cs="Titillium"/>
              </w:rPr>
            </w:pPr>
          </w:p>
        </w:tc>
        <w:tc>
          <w:tcPr>
            <w:tcW w:w="1464" w:type="dxa"/>
            <w:vAlign w:val="center"/>
          </w:tcPr>
          <w:p w14:paraId="53987F4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1C57A92D"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6A01E9C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66726D9A"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r>
    </w:tbl>
    <w:p w14:paraId="0E5F8906" w14:textId="77777777" w:rsidR="00464A06" w:rsidRDefault="00464A06" w:rsidP="00464A06">
      <w:pPr>
        <w:jc w:val="center"/>
        <w:rPr>
          <w:rFonts w:ascii="Titillium" w:eastAsia="Titillium" w:hAnsi="Titillium" w:cs="Titillium"/>
        </w:rPr>
      </w:pPr>
    </w:p>
    <w:p w14:paraId="02186E52" w14:textId="77777777" w:rsidR="00464A06" w:rsidRPr="00D90AD3" w:rsidRDefault="00464A06" w:rsidP="00464A06">
      <w:pPr>
        <w:jc w:val="both"/>
        <w:rPr>
          <w:rFonts w:asciiTheme="minorHAnsi" w:hAnsiTheme="minorHAnsi"/>
          <w:b/>
          <w:bCs/>
          <w:sz w:val="24"/>
          <w:szCs w:val="24"/>
        </w:rPr>
      </w:pPr>
      <w:bookmarkStart w:id="7" w:name="_Toc1251916061"/>
      <w:bookmarkStart w:id="8" w:name="_Toc205312698"/>
      <w:r w:rsidRPr="7295751F">
        <w:rPr>
          <w:rFonts w:asciiTheme="minorHAnsi" w:hAnsiTheme="minorHAnsi"/>
          <w:b/>
          <w:bCs/>
          <w:sz w:val="24"/>
          <w:szCs w:val="24"/>
        </w:rPr>
        <w:t>3.3. Minimum targets</w:t>
      </w:r>
      <w:bookmarkEnd w:id="7"/>
      <w:bookmarkEnd w:id="8"/>
    </w:p>
    <w:p w14:paraId="7E4CE9AC" w14:textId="77777777" w:rsidR="00464A06" w:rsidRDefault="00464A06" w:rsidP="00464A06">
      <w:pPr>
        <w:rPr>
          <w:rFonts w:ascii="Titillium" w:eastAsia="Titillium" w:hAnsi="Titillium" w:cs="Titillium"/>
        </w:rPr>
      </w:pPr>
    </w:p>
    <w:tbl>
      <w:tblPr>
        <w:tblStyle w:val="Taulaambquadrcula"/>
        <w:tblW w:w="9503" w:type="dxa"/>
        <w:tblLook w:val="04A0" w:firstRow="1" w:lastRow="0" w:firstColumn="1" w:lastColumn="0" w:noHBand="0" w:noVBand="1"/>
      </w:tblPr>
      <w:tblGrid>
        <w:gridCol w:w="1065"/>
        <w:gridCol w:w="3540"/>
        <w:gridCol w:w="2550"/>
        <w:gridCol w:w="2348"/>
      </w:tblGrid>
      <w:tr w:rsidR="00464A06" w:rsidRPr="005F6401" w14:paraId="79D2FC4E" w14:textId="77777777" w:rsidTr="00BC22D1">
        <w:trPr>
          <w:trHeight w:val="300"/>
        </w:trPr>
        <w:tc>
          <w:tcPr>
            <w:tcW w:w="9503" w:type="dxa"/>
            <w:gridSpan w:val="4"/>
            <w:shd w:val="clear" w:color="auto" w:fill="002060"/>
            <w:noWrap/>
            <w:hideMark/>
          </w:tcPr>
          <w:p w14:paraId="67AD59EE" w14:textId="77777777" w:rsidR="00464A06" w:rsidRPr="00423AF0" w:rsidRDefault="00464A06" w:rsidP="00BC22D1">
            <w:pPr>
              <w:jc w:val="center"/>
              <w:rPr>
                <w:rFonts w:ascii="Titillium" w:eastAsia="Titillium" w:hAnsi="Titillium" w:cs="Titillium"/>
                <w:b/>
                <w:bCs/>
                <w:color w:val="FFFFFF" w:themeColor="background1"/>
                <w:lang w:val="en-GB"/>
              </w:rPr>
            </w:pPr>
          </w:p>
          <w:p w14:paraId="005FE657" w14:textId="77777777" w:rsidR="00464A06" w:rsidRPr="00423AF0" w:rsidRDefault="00464A06" w:rsidP="00BC22D1">
            <w:pPr>
              <w:jc w:val="cente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EIT Community Officer minimum yearly target values</w:t>
            </w:r>
          </w:p>
          <w:p w14:paraId="7A145A23" w14:textId="77777777" w:rsidR="00464A06" w:rsidRPr="00423AF0" w:rsidRDefault="00464A06" w:rsidP="00BC22D1">
            <w:pPr>
              <w:jc w:val="center"/>
              <w:rPr>
                <w:rFonts w:ascii="Titillium" w:eastAsia="Titillium" w:hAnsi="Titillium" w:cs="Titillium"/>
                <w:b/>
                <w:bCs/>
                <w:color w:val="FFFFFF" w:themeColor="background1"/>
                <w:lang w:val="en-GB"/>
              </w:rPr>
            </w:pPr>
          </w:p>
        </w:tc>
      </w:tr>
      <w:tr w:rsidR="00464A06" w:rsidRPr="005F6401" w14:paraId="7891FAC2" w14:textId="77777777" w:rsidTr="00BC22D1">
        <w:trPr>
          <w:trHeight w:val="300"/>
        </w:trPr>
        <w:tc>
          <w:tcPr>
            <w:tcW w:w="1065" w:type="dxa"/>
            <w:noWrap/>
            <w:hideMark/>
          </w:tcPr>
          <w:p w14:paraId="2E2633D9" w14:textId="77777777" w:rsidR="00464A06" w:rsidRPr="00423AF0" w:rsidRDefault="00464A06" w:rsidP="00BC22D1">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3540" w:type="dxa"/>
            <w:noWrap/>
            <w:hideMark/>
          </w:tcPr>
          <w:p w14:paraId="0A9FDAE3" w14:textId="77777777" w:rsidR="00464A06" w:rsidRPr="00423AF0" w:rsidRDefault="00464A06" w:rsidP="00BC22D1">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2550" w:type="dxa"/>
          </w:tcPr>
          <w:p w14:paraId="319CDBC8" w14:textId="77777777" w:rsidR="00464A06" w:rsidRDefault="00464A06" w:rsidP="00BC22D1">
            <w:pPr>
              <w:jc w:val="center"/>
              <w:rPr>
                <w:rFonts w:ascii="Titillium" w:eastAsia="Titillium" w:hAnsi="Titillium" w:cs="Titillium"/>
                <w:b/>
                <w:bCs/>
              </w:rPr>
            </w:pPr>
            <w:r w:rsidRPr="636C4F36">
              <w:rPr>
                <w:rFonts w:ascii="Titillium" w:eastAsia="Titillium" w:hAnsi="Titillium" w:cs="Titillium"/>
                <w:b/>
                <w:bCs/>
                <w:sz w:val="22"/>
              </w:rPr>
              <w:t>White Spot Countries</w:t>
            </w:r>
          </w:p>
        </w:tc>
        <w:tc>
          <w:tcPr>
            <w:tcW w:w="2348" w:type="dxa"/>
          </w:tcPr>
          <w:p w14:paraId="69A84CAA" w14:textId="77777777" w:rsidR="00464A06" w:rsidRDefault="00464A06" w:rsidP="00BC22D1">
            <w:pPr>
              <w:jc w:val="center"/>
              <w:rPr>
                <w:rFonts w:ascii="Titillium" w:eastAsia="Titillium" w:hAnsi="Titillium" w:cs="Titillium"/>
                <w:b/>
                <w:bCs/>
              </w:rPr>
            </w:pPr>
            <w:r w:rsidRPr="636C4F36">
              <w:rPr>
                <w:rFonts w:ascii="Titillium" w:eastAsia="Titillium" w:hAnsi="Titillium" w:cs="Titillium"/>
                <w:b/>
                <w:bCs/>
                <w:sz w:val="22"/>
              </w:rPr>
              <w:t>Established Countries</w:t>
            </w:r>
          </w:p>
        </w:tc>
      </w:tr>
      <w:tr w:rsidR="00464A06" w14:paraId="023A62EA" w14:textId="77777777" w:rsidTr="00BC22D1">
        <w:trPr>
          <w:trHeight w:val="300"/>
        </w:trPr>
        <w:tc>
          <w:tcPr>
            <w:tcW w:w="1065" w:type="dxa"/>
            <w:shd w:val="clear" w:color="auto" w:fill="002060"/>
            <w:noWrap/>
            <w:vAlign w:val="center"/>
            <w:hideMark/>
          </w:tcPr>
          <w:p w14:paraId="134DDEFD" w14:textId="77777777" w:rsidR="00464A06" w:rsidRDefault="00464A06" w:rsidP="00BC22D1">
            <w:pPr>
              <w:jc w:val="center"/>
              <w:rPr>
                <w:rFonts w:ascii="Titillium" w:eastAsia="Titillium" w:hAnsi="Titillium" w:cs="Titillium"/>
                <w:sz w:val="18"/>
                <w:szCs w:val="18"/>
              </w:rPr>
            </w:pPr>
          </w:p>
        </w:tc>
        <w:tc>
          <w:tcPr>
            <w:tcW w:w="3540" w:type="dxa"/>
            <w:shd w:val="clear" w:color="auto" w:fill="002060"/>
            <w:noWrap/>
            <w:vAlign w:val="center"/>
            <w:hideMark/>
          </w:tcPr>
          <w:p w14:paraId="2D7042CA" w14:textId="77777777" w:rsidR="00464A06" w:rsidRDefault="00464A06" w:rsidP="00BC22D1">
            <w:pPr>
              <w:jc w:val="center"/>
              <w:rPr>
                <w:rFonts w:ascii="Titillium" w:eastAsia="Titillium" w:hAnsi="Titillium" w:cs="Titillium"/>
                <w:sz w:val="18"/>
                <w:szCs w:val="18"/>
              </w:rPr>
            </w:pPr>
          </w:p>
        </w:tc>
        <w:tc>
          <w:tcPr>
            <w:tcW w:w="2550" w:type="dxa"/>
            <w:shd w:val="clear" w:color="auto" w:fill="002060"/>
            <w:vAlign w:val="center"/>
          </w:tcPr>
          <w:p w14:paraId="46BEFFAC"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28633D7B"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425B5B" w14:paraId="5618CE9C" w14:textId="77777777" w:rsidTr="00BC22D1">
        <w:trPr>
          <w:trHeight w:val="300"/>
        </w:trPr>
        <w:tc>
          <w:tcPr>
            <w:tcW w:w="1065" w:type="dxa"/>
            <w:vAlign w:val="center"/>
            <w:hideMark/>
          </w:tcPr>
          <w:p w14:paraId="14F16C93" w14:textId="77777777" w:rsidR="00464A06" w:rsidRPr="00392313"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EITECO01</w:t>
            </w:r>
          </w:p>
          <w:p w14:paraId="0CDEF469" w14:textId="77777777" w:rsidR="00464A06" w:rsidRPr="00392313" w:rsidRDefault="00464A06" w:rsidP="00BC22D1">
            <w:pPr>
              <w:jc w:val="both"/>
              <w:rPr>
                <w:rFonts w:ascii="Titillium" w:eastAsia="Titillium" w:hAnsi="Titillium" w:cs="Titillium"/>
                <w:b/>
                <w:bCs/>
                <w:color w:val="FFFFFF" w:themeColor="background1"/>
                <w:sz w:val="18"/>
                <w:szCs w:val="18"/>
              </w:rPr>
            </w:pPr>
          </w:p>
        </w:tc>
        <w:tc>
          <w:tcPr>
            <w:tcW w:w="3540" w:type="dxa"/>
            <w:vAlign w:val="center"/>
            <w:hideMark/>
          </w:tcPr>
          <w:p w14:paraId="605322AE"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Number of applicants eligible supported/referred by the ECO to the RI&amp;I Cluster innovation, education, business creation call</w:t>
            </w:r>
          </w:p>
        </w:tc>
        <w:tc>
          <w:tcPr>
            <w:tcW w:w="2550" w:type="dxa"/>
            <w:vAlign w:val="center"/>
          </w:tcPr>
          <w:p w14:paraId="70665270" w14:textId="77777777" w:rsidR="00464A06" w:rsidRPr="00392313"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5 applicants (programmes) or p</w:t>
            </w:r>
            <w:r w:rsidRPr="2E26A9A3">
              <w:rPr>
                <w:rFonts w:ascii="Titillium" w:eastAsia="Titillium" w:hAnsi="Titillium" w:cs="Titillium"/>
                <w:color w:val="auto"/>
                <w:sz w:val="18"/>
                <w:szCs w:val="18"/>
                <w:lang w:eastAsia="en-US"/>
              </w:rPr>
              <w:t>articipants (trainings)</w:t>
            </w:r>
          </w:p>
        </w:tc>
        <w:tc>
          <w:tcPr>
            <w:tcW w:w="2348" w:type="dxa"/>
            <w:vAlign w:val="center"/>
          </w:tcPr>
          <w:p w14:paraId="20757BBD" w14:textId="77777777" w:rsidR="00464A06" w:rsidRPr="00392313"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10 applicants (programmes) or p</w:t>
            </w:r>
            <w:r w:rsidRPr="2E26A9A3">
              <w:rPr>
                <w:rFonts w:ascii="Titillium" w:eastAsia="Titillium" w:hAnsi="Titillium" w:cs="Titillium"/>
                <w:color w:val="auto"/>
                <w:sz w:val="18"/>
                <w:szCs w:val="18"/>
                <w:lang w:eastAsia="en-US"/>
              </w:rPr>
              <w:t>articipants (trainings)</w:t>
            </w:r>
          </w:p>
        </w:tc>
      </w:tr>
      <w:tr w:rsidR="00464A06" w14:paraId="5FDC3698" w14:textId="77777777" w:rsidTr="00BC22D1">
        <w:trPr>
          <w:trHeight w:val="300"/>
        </w:trPr>
        <w:tc>
          <w:tcPr>
            <w:tcW w:w="1065" w:type="dxa"/>
            <w:shd w:val="clear" w:color="auto" w:fill="002060"/>
            <w:vAlign w:val="center"/>
            <w:hideMark/>
          </w:tcPr>
          <w:p w14:paraId="10BB256B"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76973F2D" w14:textId="77777777" w:rsidR="00464A06" w:rsidRDefault="00464A06" w:rsidP="00BC22D1">
            <w:pPr>
              <w:rPr>
                <w:rFonts w:ascii="Titillium" w:eastAsia="Titillium" w:hAnsi="Titillium" w:cs="Titillium"/>
                <w:color w:val="FFFFFF" w:themeColor="background1"/>
                <w:sz w:val="18"/>
                <w:szCs w:val="18"/>
              </w:rPr>
            </w:pPr>
          </w:p>
        </w:tc>
        <w:tc>
          <w:tcPr>
            <w:tcW w:w="2550" w:type="dxa"/>
            <w:shd w:val="clear" w:color="auto" w:fill="002060"/>
            <w:vAlign w:val="center"/>
          </w:tcPr>
          <w:p w14:paraId="235FA23A"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26DF4EBC"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5F6401" w14:paraId="42B0056E" w14:textId="77777777" w:rsidTr="00BC22D1">
        <w:trPr>
          <w:trHeight w:val="300"/>
        </w:trPr>
        <w:tc>
          <w:tcPr>
            <w:tcW w:w="1065" w:type="dxa"/>
            <w:vAlign w:val="center"/>
            <w:hideMark/>
          </w:tcPr>
          <w:p w14:paraId="1E275D2E"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EITECO02</w:t>
            </w:r>
          </w:p>
        </w:tc>
        <w:tc>
          <w:tcPr>
            <w:tcW w:w="3540" w:type="dxa"/>
            <w:vAlign w:val="center"/>
            <w:hideMark/>
          </w:tcPr>
          <w:p w14:paraId="672E8021" w14:textId="77777777" w:rsidR="00464A06" w:rsidRPr="00423AF0" w:rsidRDefault="00464A06" w:rsidP="00BC22D1">
            <w:pPr>
              <w:rPr>
                <w:rFonts w:ascii="Titillium" w:eastAsia="Titillium" w:hAnsi="Titillium" w:cs="Titillium"/>
                <w:sz w:val="18"/>
                <w:szCs w:val="18"/>
                <w:lang w:val="en-GB"/>
              </w:rPr>
            </w:pPr>
            <w:r w:rsidRPr="00423AF0">
              <w:rPr>
                <w:rFonts w:ascii="Titillium" w:eastAsia="Titillium" w:hAnsi="Titillium" w:cs="Titillium"/>
                <w:sz w:val="18"/>
                <w:szCs w:val="18"/>
                <w:lang w:val="en-GB"/>
              </w:rPr>
              <w:t>Applicants eligible supported/referred by the ECO to the KIC's innovation, education, business creation call</w:t>
            </w:r>
          </w:p>
        </w:tc>
        <w:tc>
          <w:tcPr>
            <w:tcW w:w="2550" w:type="dxa"/>
            <w:vAlign w:val="center"/>
          </w:tcPr>
          <w:p w14:paraId="7DF66AB2"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5 applicants (programmes) or p</w:t>
            </w:r>
            <w:r w:rsidRPr="2E26A9A3">
              <w:rPr>
                <w:rFonts w:ascii="Titillium" w:eastAsia="Titillium" w:hAnsi="Titillium" w:cs="Titillium"/>
                <w:color w:val="auto"/>
                <w:sz w:val="18"/>
                <w:szCs w:val="18"/>
                <w:lang w:eastAsia="en-US"/>
              </w:rPr>
              <w:t>articipants (trainings)</w:t>
            </w:r>
          </w:p>
        </w:tc>
        <w:tc>
          <w:tcPr>
            <w:tcW w:w="2348" w:type="dxa"/>
            <w:vAlign w:val="center"/>
          </w:tcPr>
          <w:p w14:paraId="71682067"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10 applicants (programmes) or p</w:t>
            </w:r>
            <w:r w:rsidRPr="2E26A9A3">
              <w:rPr>
                <w:rFonts w:ascii="Titillium" w:eastAsia="Titillium" w:hAnsi="Titillium" w:cs="Titillium"/>
                <w:color w:val="auto"/>
                <w:sz w:val="18"/>
                <w:szCs w:val="18"/>
                <w:lang w:eastAsia="en-US"/>
              </w:rPr>
              <w:t>articipants (trainings)</w:t>
            </w:r>
          </w:p>
        </w:tc>
      </w:tr>
      <w:tr w:rsidR="00464A06" w14:paraId="4FBF4F14" w14:textId="77777777" w:rsidTr="00BC22D1">
        <w:trPr>
          <w:trHeight w:val="300"/>
        </w:trPr>
        <w:tc>
          <w:tcPr>
            <w:tcW w:w="1065" w:type="dxa"/>
            <w:shd w:val="clear" w:color="auto" w:fill="002060"/>
            <w:vAlign w:val="center"/>
            <w:hideMark/>
          </w:tcPr>
          <w:p w14:paraId="75CD2A18"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5AD4D274" w14:textId="77777777" w:rsidR="00464A06" w:rsidRDefault="00464A06" w:rsidP="00BC22D1">
            <w:pPr>
              <w:rPr>
                <w:rFonts w:ascii="Titillium" w:eastAsia="Titillium" w:hAnsi="Titillium" w:cs="Titillium"/>
                <w:sz w:val="18"/>
                <w:szCs w:val="18"/>
              </w:rPr>
            </w:pPr>
          </w:p>
        </w:tc>
        <w:tc>
          <w:tcPr>
            <w:tcW w:w="2550" w:type="dxa"/>
            <w:shd w:val="clear" w:color="auto" w:fill="002060"/>
            <w:vAlign w:val="center"/>
          </w:tcPr>
          <w:p w14:paraId="319A902C"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1199AE45"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5F6401" w14:paraId="1A0FE76E" w14:textId="77777777" w:rsidTr="00BC22D1">
        <w:trPr>
          <w:trHeight w:val="300"/>
        </w:trPr>
        <w:tc>
          <w:tcPr>
            <w:tcW w:w="1065" w:type="dxa"/>
            <w:vAlign w:val="center"/>
            <w:hideMark/>
          </w:tcPr>
          <w:p w14:paraId="79498D13" w14:textId="77777777" w:rsidR="00464A06" w:rsidRPr="00392313"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EITECO03</w:t>
            </w:r>
          </w:p>
        </w:tc>
        <w:tc>
          <w:tcPr>
            <w:tcW w:w="3540" w:type="dxa"/>
            <w:vAlign w:val="center"/>
            <w:hideMark/>
          </w:tcPr>
          <w:p w14:paraId="15B617CD"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Number of leads facilitated by the ECO to contribute to the financial sustainability of the RI&amp;I Cluster</w:t>
            </w:r>
          </w:p>
        </w:tc>
        <w:tc>
          <w:tcPr>
            <w:tcW w:w="2550" w:type="dxa"/>
            <w:vAlign w:val="center"/>
          </w:tcPr>
          <w:p w14:paraId="05BBDDBB"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4 qualified leads</w:t>
            </w:r>
          </w:p>
        </w:tc>
        <w:tc>
          <w:tcPr>
            <w:tcW w:w="2348" w:type="dxa"/>
            <w:vAlign w:val="center"/>
          </w:tcPr>
          <w:p w14:paraId="133602A3" w14:textId="77777777" w:rsidR="00464A06" w:rsidRPr="005F6401"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 xml:space="preserve">6 qualified </w:t>
            </w:r>
            <w:r>
              <w:rPr>
                <w:rFonts w:ascii="Titillium" w:eastAsia="Titillium" w:hAnsi="Titillium" w:cs="Titillium"/>
                <w:sz w:val="18"/>
                <w:szCs w:val="18"/>
              </w:rPr>
              <w:t>l</w:t>
            </w:r>
            <w:r w:rsidRPr="2E26A9A3">
              <w:rPr>
                <w:rFonts w:ascii="Titillium" w:eastAsia="Titillium" w:hAnsi="Titillium" w:cs="Titillium"/>
                <w:sz w:val="18"/>
                <w:szCs w:val="18"/>
              </w:rPr>
              <w:t>eads</w:t>
            </w:r>
          </w:p>
        </w:tc>
      </w:tr>
      <w:tr w:rsidR="00464A06" w14:paraId="3A203F01" w14:textId="77777777" w:rsidTr="00BC22D1">
        <w:trPr>
          <w:trHeight w:val="300"/>
        </w:trPr>
        <w:tc>
          <w:tcPr>
            <w:tcW w:w="1065" w:type="dxa"/>
            <w:shd w:val="clear" w:color="auto" w:fill="002060"/>
            <w:vAlign w:val="center"/>
            <w:hideMark/>
          </w:tcPr>
          <w:p w14:paraId="6F2E33FC"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5A8D4042" w14:textId="77777777" w:rsidR="00464A06" w:rsidRDefault="00464A06" w:rsidP="00BC22D1">
            <w:pPr>
              <w:rPr>
                <w:rFonts w:ascii="Titillium" w:eastAsia="Titillium" w:hAnsi="Titillium" w:cs="Titillium"/>
                <w:sz w:val="18"/>
                <w:szCs w:val="18"/>
              </w:rPr>
            </w:pPr>
          </w:p>
        </w:tc>
        <w:tc>
          <w:tcPr>
            <w:tcW w:w="2550" w:type="dxa"/>
            <w:shd w:val="clear" w:color="auto" w:fill="002060"/>
            <w:vAlign w:val="center"/>
          </w:tcPr>
          <w:p w14:paraId="77E70B99"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75B4F4CC"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14:paraId="67DA9DE1" w14:textId="77777777" w:rsidTr="00BC22D1">
        <w:trPr>
          <w:trHeight w:val="300"/>
        </w:trPr>
        <w:tc>
          <w:tcPr>
            <w:tcW w:w="1065" w:type="dxa"/>
            <w:vAlign w:val="center"/>
            <w:hideMark/>
          </w:tcPr>
          <w:p w14:paraId="021DDDD0"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EITECO04</w:t>
            </w:r>
          </w:p>
        </w:tc>
        <w:tc>
          <w:tcPr>
            <w:tcW w:w="3540" w:type="dxa"/>
            <w:vAlign w:val="center"/>
            <w:hideMark/>
          </w:tcPr>
          <w:p w14:paraId="4ED31CE0" w14:textId="77777777" w:rsidR="00464A06" w:rsidRPr="00423AF0" w:rsidRDefault="00464A06" w:rsidP="00BC22D1">
            <w:pPr>
              <w:rPr>
                <w:rFonts w:ascii="Titillium" w:eastAsia="Titillium" w:hAnsi="Titillium" w:cs="Titillium"/>
                <w:sz w:val="18"/>
                <w:szCs w:val="18"/>
                <w:lang w:val="en-GB"/>
              </w:rPr>
            </w:pPr>
            <w:r w:rsidRPr="00423AF0">
              <w:rPr>
                <w:rFonts w:ascii="Titillium" w:eastAsia="Titillium" w:hAnsi="Titillium" w:cs="Titillium"/>
                <w:sz w:val="18"/>
                <w:szCs w:val="18"/>
                <w:lang w:val="en-GB"/>
              </w:rPr>
              <w:t>Number of leads facilitated by the ECO to contribute to the financial sustainability of the KIC</w:t>
            </w:r>
          </w:p>
        </w:tc>
        <w:tc>
          <w:tcPr>
            <w:tcW w:w="2550" w:type="dxa"/>
            <w:vAlign w:val="center"/>
          </w:tcPr>
          <w:p w14:paraId="14078C94"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4 qualified leads</w:t>
            </w:r>
          </w:p>
        </w:tc>
        <w:tc>
          <w:tcPr>
            <w:tcW w:w="2348" w:type="dxa"/>
            <w:vAlign w:val="center"/>
          </w:tcPr>
          <w:p w14:paraId="00A8D406"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6 qualified leads</w:t>
            </w:r>
          </w:p>
        </w:tc>
      </w:tr>
      <w:tr w:rsidR="00464A06" w14:paraId="30860148" w14:textId="77777777" w:rsidTr="00BC22D1">
        <w:trPr>
          <w:trHeight w:val="300"/>
        </w:trPr>
        <w:tc>
          <w:tcPr>
            <w:tcW w:w="1065" w:type="dxa"/>
            <w:shd w:val="clear" w:color="auto" w:fill="002060"/>
            <w:vAlign w:val="center"/>
            <w:hideMark/>
          </w:tcPr>
          <w:p w14:paraId="48E7A751"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7A0AA6EA" w14:textId="77777777" w:rsidR="00464A06" w:rsidRDefault="00464A06" w:rsidP="00BC22D1">
            <w:pPr>
              <w:rPr>
                <w:rFonts w:ascii="Titillium" w:eastAsia="Titillium" w:hAnsi="Titillium" w:cs="Titillium"/>
                <w:color w:val="FFFFFF" w:themeColor="background1"/>
                <w:sz w:val="18"/>
                <w:szCs w:val="18"/>
              </w:rPr>
            </w:pPr>
          </w:p>
        </w:tc>
        <w:tc>
          <w:tcPr>
            <w:tcW w:w="2550" w:type="dxa"/>
            <w:shd w:val="clear" w:color="auto" w:fill="002060"/>
            <w:vAlign w:val="center"/>
          </w:tcPr>
          <w:p w14:paraId="05B24CB5" w14:textId="77777777" w:rsidR="00464A06" w:rsidRDefault="00464A06" w:rsidP="00BC22D1">
            <w:pPr>
              <w:jc w:val="center"/>
              <w:rPr>
                <w:rFonts w:ascii="Titillium" w:eastAsia="Titillium" w:hAnsi="Titillium" w:cs="Titillium"/>
                <w:color w:val="FFFFFF" w:themeColor="background1"/>
                <w:sz w:val="18"/>
                <w:szCs w:val="18"/>
              </w:rPr>
            </w:pPr>
          </w:p>
        </w:tc>
        <w:tc>
          <w:tcPr>
            <w:tcW w:w="2348" w:type="dxa"/>
            <w:shd w:val="clear" w:color="auto" w:fill="002060"/>
            <w:vAlign w:val="center"/>
          </w:tcPr>
          <w:p w14:paraId="24356C3C" w14:textId="77777777" w:rsidR="00464A06" w:rsidRDefault="00464A06" w:rsidP="00BC22D1">
            <w:pPr>
              <w:jc w:val="center"/>
              <w:rPr>
                <w:rFonts w:ascii="Titillium" w:eastAsia="Titillium" w:hAnsi="Titillium" w:cs="Titillium"/>
                <w:color w:val="FFFFFF" w:themeColor="background1"/>
                <w:sz w:val="18"/>
                <w:szCs w:val="18"/>
              </w:rPr>
            </w:pPr>
          </w:p>
        </w:tc>
      </w:tr>
      <w:tr w:rsidR="00464A06" w14:paraId="4B7E989E" w14:textId="77777777" w:rsidTr="00BC22D1">
        <w:trPr>
          <w:trHeight w:val="300"/>
        </w:trPr>
        <w:tc>
          <w:tcPr>
            <w:tcW w:w="1065" w:type="dxa"/>
            <w:vAlign w:val="center"/>
            <w:hideMark/>
          </w:tcPr>
          <w:p w14:paraId="1FEBE593" w14:textId="77777777" w:rsidR="00464A06" w:rsidRDefault="00464A06" w:rsidP="00BC22D1">
            <w:pPr>
              <w:jc w:val="center"/>
              <w:rPr>
                <w:rFonts w:ascii="Titillium" w:eastAsia="Titillium" w:hAnsi="Titillium" w:cs="Titillium"/>
                <w:sz w:val="18"/>
                <w:szCs w:val="18"/>
              </w:rPr>
            </w:pPr>
          </w:p>
          <w:p w14:paraId="37D2F7A5"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EITECO05</w:t>
            </w:r>
          </w:p>
          <w:p w14:paraId="3373341B" w14:textId="77777777" w:rsidR="00464A06" w:rsidRDefault="00464A06" w:rsidP="00BC22D1">
            <w:pPr>
              <w:jc w:val="center"/>
              <w:rPr>
                <w:rFonts w:ascii="Titillium" w:eastAsia="Titillium" w:hAnsi="Titillium" w:cs="Titillium"/>
                <w:sz w:val="18"/>
                <w:szCs w:val="18"/>
              </w:rPr>
            </w:pPr>
          </w:p>
        </w:tc>
        <w:tc>
          <w:tcPr>
            <w:tcW w:w="3540" w:type="dxa"/>
            <w:shd w:val="clear" w:color="auto" w:fill="FFFFFF" w:themeFill="background1"/>
            <w:vAlign w:val="center"/>
            <w:hideMark/>
          </w:tcPr>
          <w:p w14:paraId="65A2CE5E" w14:textId="77777777" w:rsidR="00464A06" w:rsidRDefault="00464A06" w:rsidP="00BC22D1">
            <w:pPr>
              <w:rPr>
                <w:rFonts w:ascii="Titillium" w:eastAsia="Titillium" w:hAnsi="Titillium" w:cs="Titillium"/>
                <w:sz w:val="18"/>
                <w:szCs w:val="18"/>
              </w:rPr>
            </w:pPr>
            <w:r w:rsidRPr="636C4F36">
              <w:rPr>
                <w:rFonts w:ascii="Titillium" w:eastAsia="Titillium" w:hAnsi="Titillium" w:cs="Titillium"/>
                <w:sz w:val="18"/>
                <w:szCs w:val="18"/>
              </w:rPr>
              <w:t>External funding raised</w:t>
            </w:r>
          </w:p>
        </w:tc>
        <w:tc>
          <w:tcPr>
            <w:tcW w:w="2550" w:type="dxa"/>
            <w:shd w:val="clear" w:color="auto" w:fill="FFFFFF" w:themeFill="background1"/>
            <w:vAlign w:val="center"/>
          </w:tcPr>
          <w:p w14:paraId="31D3CED5" w14:textId="77777777" w:rsidR="00464A06" w:rsidRDefault="00464A06" w:rsidP="00BC22D1">
            <w:pPr>
              <w:jc w:val="center"/>
              <w:rPr>
                <w:rFonts w:ascii="Titillium" w:eastAsia="Titillium" w:hAnsi="Titillium" w:cs="Titillium"/>
                <w:sz w:val="18"/>
                <w:szCs w:val="18"/>
              </w:rPr>
            </w:pPr>
            <w:r w:rsidRPr="636C4F36">
              <w:rPr>
                <w:rFonts w:ascii="Titillium" w:eastAsia="Titillium" w:hAnsi="Titillium" w:cs="Titillium"/>
                <w:sz w:val="18"/>
                <w:szCs w:val="18"/>
              </w:rPr>
              <w:t>10k EUR</w:t>
            </w:r>
          </w:p>
        </w:tc>
        <w:tc>
          <w:tcPr>
            <w:tcW w:w="2348" w:type="dxa"/>
            <w:shd w:val="clear" w:color="auto" w:fill="FFFFFF" w:themeFill="background1"/>
            <w:vAlign w:val="center"/>
          </w:tcPr>
          <w:p w14:paraId="25B27D53" w14:textId="77777777" w:rsidR="00464A06" w:rsidRDefault="00464A06" w:rsidP="00BC22D1">
            <w:pPr>
              <w:jc w:val="center"/>
              <w:rPr>
                <w:rFonts w:ascii="Titillium" w:eastAsia="Titillium" w:hAnsi="Titillium" w:cs="Titillium"/>
                <w:sz w:val="18"/>
                <w:szCs w:val="18"/>
              </w:rPr>
            </w:pPr>
            <w:r w:rsidRPr="636C4F36">
              <w:rPr>
                <w:rFonts w:ascii="Titillium" w:eastAsia="Titillium" w:hAnsi="Titillium" w:cs="Titillium"/>
                <w:sz w:val="18"/>
                <w:szCs w:val="18"/>
              </w:rPr>
              <w:t>20k EUR</w:t>
            </w:r>
          </w:p>
        </w:tc>
      </w:tr>
    </w:tbl>
    <w:p w14:paraId="52B1B978" w14:textId="77777777" w:rsidR="00464A06" w:rsidRDefault="00464A06" w:rsidP="00464A06">
      <w:pPr>
        <w:rPr>
          <w:rFonts w:ascii="Titillium" w:eastAsia="Titillium" w:hAnsi="Titillium" w:cs="Titillium"/>
        </w:rPr>
      </w:pPr>
    </w:p>
    <w:p w14:paraId="072502CB"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above KPI targets are established for the EIT Community Officers operating on the country level and yearly basis. </w:t>
      </w:r>
      <w:r w:rsidRPr="636C4F36">
        <w:rPr>
          <w:rFonts w:ascii="Titillium" w:eastAsia="Titillium" w:hAnsi="Titillium" w:cs="Titillium"/>
          <w:b/>
          <w:bCs/>
        </w:rPr>
        <w:t>The target values are established as minimums and can be subject to change defined by the Lead KIC depending on the needs of the programme, the previous years’ baseline data or the size of the country.</w:t>
      </w:r>
    </w:p>
    <w:p w14:paraId="31E8E330" w14:textId="77777777" w:rsidR="00464A06" w:rsidRDefault="00464A06" w:rsidP="00464A06">
      <w:pPr>
        <w:pStyle w:val="Ttol2"/>
        <w:spacing w:before="0" w:after="160"/>
        <w:rPr>
          <w:rFonts w:ascii="Titillium" w:eastAsia="Titillium" w:hAnsi="Titillium" w:cs="Titillium"/>
        </w:rPr>
      </w:pPr>
    </w:p>
    <w:p w14:paraId="4E60802E" w14:textId="77777777" w:rsidR="00464A06" w:rsidRPr="00D90AD3" w:rsidRDefault="00464A06" w:rsidP="00464A06">
      <w:pPr>
        <w:jc w:val="both"/>
        <w:rPr>
          <w:rFonts w:asciiTheme="minorHAnsi" w:hAnsiTheme="minorHAnsi"/>
          <w:b/>
          <w:bCs/>
          <w:sz w:val="24"/>
          <w:szCs w:val="24"/>
        </w:rPr>
      </w:pPr>
      <w:bookmarkStart w:id="9" w:name="_Toc1858700628"/>
      <w:bookmarkStart w:id="10" w:name="_Toc205312699"/>
      <w:r w:rsidRPr="7295751F">
        <w:rPr>
          <w:rFonts w:asciiTheme="minorHAnsi" w:hAnsiTheme="minorHAnsi"/>
          <w:b/>
          <w:bCs/>
          <w:sz w:val="24"/>
          <w:szCs w:val="24"/>
        </w:rPr>
        <w:t>Activities per Work Packages</w:t>
      </w:r>
      <w:bookmarkEnd w:id="9"/>
      <w:bookmarkEnd w:id="10"/>
    </w:p>
    <w:p w14:paraId="67223315"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activities mandated to the EIT Community Officers in the </w:t>
      </w:r>
      <w:hyperlink r:id="rId13">
        <w:r w:rsidRPr="636C4F36">
          <w:rPr>
            <w:rStyle w:val="Enlla"/>
            <w:rFonts w:ascii="Titillium" w:eastAsia="Titillium" w:hAnsi="Titillium" w:cs="Titillium"/>
            <w:sz w:val="22"/>
          </w:rPr>
          <w:t>EIT RIS Implementation Framework (Updated 2025-2027)</w:t>
        </w:r>
      </w:hyperlink>
      <w:r w:rsidRPr="636C4F36">
        <w:rPr>
          <w:rFonts w:ascii="Titillium" w:eastAsia="Titillium" w:hAnsi="Titillium" w:cs="Titillium"/>
          <w:sz w:val="22"/>
        </w:rPr>
        <w:t xml:space="preserve"> document are also integrated</w:t>
      </w:r>
      <w:r w:rsidRPr="636C4F36">
        <w:rPr>
          <w:rFonts w:ascii="Titillium" w:eastAsia="Titillium" w:hAnsi="Titillium" w:cs="Titillium"/>
        </w:rPr>
        <w:t xml:space="preserve"> in a way that they serve the purpose to contribute to the impact framework rather than being a task on its own. Tasks outputs are measured with </w:t>
      </w:r>
      <w:r w:rsidRPr="636C4F36">
        <w:rPr>
          <w:rFonts w:ascii="Titillium" w:eastAsia="Titillium" w:hAnsi="Titillium" w:cs="Titillium"/>
          <w:b/>
          <w:bCs/>
        </w:rPr>
        <w:t xml:space="preserve">EIT Community Officer metrics </w:t>
      </w:r>
      <w:r w:rsidRPr="636C4F36">
        <w:rPr>
          <w:rFonts w:ascii="Titillium" w:eastAsia="Titillium" w:hAnsi="Titillium" w:cs="Titillium"/>
        </w:rPr>
        <w:t>and support the achievement of EIT Community Officers key performance indicators.</w:t>
      </w:r>
    </w:p>
    <w:p w14:paraId="260EACAF"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The EIT Community Officer activities are integrated into 4 work packages, each of them including mandatory and optional activities contributing to the achievement of the EITECO KPIs.</w:t>
      </w:r>
    </w:p>
    <w:p w14:paraId="1C037950"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Mandatory activities are defined as per the RIS Implementation Framework (Updated 2025-2027) document and contribute to the KPI achievement.</w:t>
      </w:r>
    </w:p>
    <w:p w14:paraId="4C51AD55" w14:textId="77777777" w:rsidR="00464A06" w:rsidRPr="00D90AD3" w:rsidRDefault="00464A06" w:rsidP="00464A06">
      <w:pPr>
        <w:jc w:val="both"/>
        <w:rPr>
          <w:rFonts w:asciiTheme="minorHAnsi" w:hAnsiTheme="minorHAnsi"/>
          <w:b/>
          <w:bCs/>
          <w:sz w:val="24"/>
          <w:szCs w:val="24"/>
        </w:rPr>
      </w:pPr>
      <w:bookmarkStart w:id="11" w:name="_Toc1410382459"/>
      <w:bookmarkStart w:id="12" w:name="_Toc205312700"/>
      <w:r w:rsidRPr="7295751F">
        <w:rPr>
          <w:rFonts w:asciiTheme="minorHAnsi" w:hAnsiTheme="minorHAnsi"/>
          <w:b/>
          <w:bCs/>
          <w:sz w:val="24"/>
          <w:szCs w:val="24"/>
        </w:rPr>
        <w:t>4.1. Mandatory activities</w:t>
      </w:r>
      <w:bookmarkEnd w:id="11"/>
      <w:bookmarkEnd w:id="12"/>
    </w:p>
    <w:p w14:paraId="7473635A" w14:textId="77777777" w:rsidR="00464A06" w:rsidRPr="00D90AD3" w:rsidRDefault="00464A06" w:rsidP="00464A06">
      <w:pPr>
        <w:jc w:val="both"/>
        <w:rPr>
          <w:rFonts w:asciiTheme="minorHAnsi" w:hAnsiTheme="minorHAnsi"/>
          <w:b/>
          <w:bCs/>
          <w:sz w:val="24"/>
          <w:szCs w:val="24"/>
        </w:rPr>
      </w:pPr>
      <w:bookmarkStart w:id="13" w:name="_Toc855695027"/>
      <w:bookmarkStart w:id="14" w:name="_Toc205312701"/>
      <w:r w:rsidRPr="7295751F">
        <w:rPr>
          <w:rFonts w:asciiTheme="minorHAnsi" w:hAnsiTheme="minorHAnsi"/>
          <w:b/>
          <w:bCs/>
          <w:sz w:val="24"/>
          <w:szCs w:val="24"/>
        </w:rPr>
        <w:t>Work package 1 – Administration/Coordination/Communication</w:t>
      </w:r>
      <w:bookmarkEnd w:id="13"/>
      <w:bookmarkEnd w:id="14"/>
    </w:p>
    <w:p w14:paraId="09B76CDC" w14:textId="77777777" w:rsidR="00464A06" w:rsidRDefault="00464A06" w:rsidP="00464A06">
      <w:pPr>
        <w:rPr>
          <w:rFonts w:ascii="Titillium" w:eastAsia="Titillium" w:hAnsi="Titillium" w:cs="Titillium"/>
          <w:b/>
          <w:bCs/>
        </w:rPr>
      </w:pPr>
      <w:r w:rsidRPr="636C4F36">
        <w:rPr>
          <w:rFonts w:ascii="Titillium" w:eastAsia="Titillium" w:hAnsi="Titillium" w:cs="Titillium"/>
          <w:b/>
          <w:bCs/>
        </w:rPr>
        <w:t>Administration activities:</w:t>
      </w:r>
    </w:p>
    <w:p w14:paraId="5CD7DC75"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Develop a good understanding of the EIT model and keep up-to-date with the KICs activities; </w:t>
      </w:r>
    </w:p>
    <w:p w14:paraId="6031589B"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Set up and maintain a physical space, in a city accepted by the Cross-KIC Strategic Regional Innovations Cluster and the EIT, after having consulted with or at least informed the national authorities in advance, where local stakeholders, including NCPs, can physically, walk-in to obtain information on, as well as gain access to the EIT Community, while additionally, aiding with the EIT’s on-the-ground visibility and branding; </w:t>
      </w:r>
    </w:p>
    <w:p w14:paraId="602125EC"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lastRenderedPageBreak/>
        <w:t xml:space="preserve">Collaborate closely with the wider network of EIT Community Officers including by sharing information, good practices, collaborating on joint initiatives as well as any other activities which would support the EIT Community and the local innovation ecosystem </w:t>
      </w:r>
    </w:p>
    <w:p w14:paraId="72B8B2FC"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Any other tasks mandated by the EIT Management which, in principle, supports the EIT RIS Hubs to contribute to the achievement of the EIT’s Objectives and implementation of its Strategy and Annual Work Programmes. </w:t>
      </w:r>
    </w:p>
    <w:p w14:paraId="32B76F19"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Form good working relations with the whole EIT Community, including the SRI Cluster.</w:t>
      </w:r>
    </w:p>
    <w:p w14:paraId="422DEE2B" w14:textId="77777777" w:rsidR="00464A06" w:rsidRDefault="00464A06" w:rsidP="00464A06">
      <w:pPr>
        <w:pStyle w:val="Pargrafdellista"/>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Review and report to the EIT Community Officer Coordinator via the Lead KIC SPOC of the EIT Community Officer.</w:t>
      </w:r>
    </w:p>
    <w:tbl>
      <w:tblPr>
        <w:tblStyle w:val="Taulaambquadrcula"/>
        <w:tblW w:w="0" w:type="auto"/>
        <w:tblLook w:val="06A0" w:firstRow="1" w:lastRow="0" w:firstColumn="1" w:lastColumn="0" w:noHBand="1" w:noVBand="1"/>
      </w:tblPr>
      <w:tblGrid>
        <w:gridCol w:w="8493"/>
      </w:tblGrid>
      <w:tr w:rsidR="00464A06" w14:paraId="40646DE4" w14:textId="77777777" w:rsidTr="00BC22D1">
        <w:trPr>
          <w:trHeight w:val="300"/>
        </w:trPr>
        <w:tc>
          <w:tcPr>
            <w:tcW w:w="9472" w:type="dxa"/>
            <w:shd w:val="clear" w:color="auto" w:fill="002060"/>
          </w:tcPr>
          <w:p w14:paraId="7716CA86"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7696DE93" w14:textId="77777777" w:rsidTr="00BC22D1">
        <w:trPr>
          <w:trHeight w:val="300"/>
        </w:trPr>
        <w:tc>
          <w:tcPr>
            <w:tcW w:w="9472" w:type="dxa"/>
          </w:tcPr>
          <w:p w14:paraId="67D89D5E"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5 photos of the 1 EIT Community Hub Office with relevant branding</w:t>
            </w:r>
          </w:p>
          <w:p w14:paraId="7C19FB4F"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Attendance at 10 monthly ECO/SPOC meetings yearly (attendance list) and 1 ECO Annual Meeting or informal gathering</w:t>
            </w:r>
          </w:p>
          <w:p w14:paraId="0BCAEF94"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Presentation of at least 1 good practice, joint opportunities (ppt slide deck, good practice case studies shared, templates to be used by other ECOs)</w:t>
            </w:r>
          </w:p>
          <w:p w14:paraId="0355A735"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yearly Activity Plan, 4 quarterly review reports and 12 monthly briefing sessions, per year, with Lead KIC SPOCs</w:t>
            </w:r>
          </w:p>
          <w:p w14:paraId="07FC56B4"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Flash reports to EIT in case of events for which participation is mandated by EIT or with the participation of high-level EU, national government representative.</w:t>
            </w:r>
          </w:p>
        </w:tc>
      </w:tr>
    </w:tbl>
    <w:p w14:paraId="14E5AD88" w14:textId="77777777" w:rsidR="00464A06" w:rsidRDefault="00464A06" w:rsidP="00464A06">
      <w:pPr>
        <w:jc w:val="both"/>
        <w:rPr>
          <w:rFonts w:ascii="Titillium" w:eastAsia="Titillium" w:hAnsi="Titillium" w:cs="Titillium"/>
        </w:rPr>
      </w:pPr>
    </w:p>
    <w:p w14:paraId="4A3F0542" w14:textId="77777777" w:rsidR="00464A06" w:rsidRDefault="00464A06" w:rsidP="00464A06">
      <w:pPr>
        <w:rPr>
          <w:rFonts w:ascii="Titillium" w:eastAsia="Titillium" w:hAnsi="Titillium" w:cs="Titillium"/>
          <w:b/>
          <w:bCs/>
        </w:rPr>
      </w:pPr>
      <w:r w:rsidRPr="636C4F36">
        <w:rPr>
          <w:rFonts w:ascii="Titillium" w:eastAsia="Titillium" w:hAnsi="Titillium" w:cs="Titillium"/>
          <w:b/>
          <w:bCs/>
        </w:rPr>
        <w:t>Coordination activities:</w:t>
      </w:r>
    </w:p>
    <w:p w14:paraId="6EB9A06C" w14:textId="77777777" w:rsidR="00464A06" w:rsidRDefault="00464A06" w:rsidP="00464A06">
      <w:pPr>
        <w:pStyle w:val="Pargrafdellista"/>
        <w:ind w:left="360"/>
        <w:jc w:val="both"/>
        <w:rPr>
          <w:rFonts w:ascii="Titillium" w:eastAsia="Titillium" w:hAnsi="Titillium" w:cs="Titillium"/>
        </w:rPr>
      </w:pPr>
      <w:r w:rsidRPr="77010471">
        <w:rPr>
          <w:rFonts w:ascii="Titillium" w:eastAsia="Titillium" w:hAnsi="Titillium" w:cs="Titillium"/>
        </w:rPr>
        <w:t>Local EIT Community coordination:</w:t>
      </w:r>
    </w:p>
    <w:p w14:paraId="624C3B34"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Deploy and keep up-to-date the governance Memorandum of Understanding of the EIT Community Hub that sets up the working relations with all Members of the EIT Community Hub, including other EIT KIC Offices present in the same ecosystem nationally;</w:t>
      </w:r>
    </w:p>
    <w:p w14:paraId="2188305B"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2283C19">
        <w:rPr>
          <w:rFonts w:ascii="Titillium" w:eastAsia="Titillium" w:hAnsi="Titillium" w:cs="Titillium"/>
        </w:rPr>
        <w:t xml:space="preserve">In consultation with the Members of the EIT Community Hub, and other EIT KIC Offices present in the same ecosystem, establish a smooth and efficient working method which limits administrative burdens, while supporting their minimum functions; </w:t>
      </w:r>
    </w:p>
    <w:p w14:paraId="00B3CD35"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Design an appropriate work method and necessary tools for information sharing / coordination so as to facilitate continuous information exchange between the Members of the EIT Community Hub, and other EIT KIC Offices present in the same ecosystem nationally;</w:t>
      </w:r>
    </w:p>
    <w:p w14:paraId="0CD41BEF"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To the greatest extent possible, and when appropriate, ensure a coordinated approach amongst the EIT KICs, Members of the EIT Community Hub, and other EIT KIC Offices, EIT Alumni Network towards national authorities including relevant NCPs and Managing Authorities;</w:t>
      </w:r>
    </w:p>
    <w:p w14:paraId="404063B6"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Identify the need for and facilitating the implementation of shared services for Hub Members with a view to improve efficiency;</w:t>
      </w:r>
    </w:p>
    <w:p w14:paraId="013E11D4"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Facilitate and coordinate EIT Community branding efforts, sharing information and advising KICs and Community Members.</w:t>
      </w:r>
    </w:p>
    <w:p w14:paraId="453E9F92" w14:textId="77777777" w:rsidR="00464A06" w:rsidRDefault="00464A06" w:rsidP="00464A06">
      <w:pPr>
        <w:pStyle w:val="Pargrafdellista"/>
        <w:jc w:val="both"/>
        <w:rPr>
          <w:rFonts w:ascii="Titillium" w:eastAsia="Titillium" w:hAnsi="Titillium" w:cs="Titillium"/>
        </w:rPr>
      </w:pPr>
    </w:p>
    <w:p w14:paraId="0E7C8EAB" w14:textId="77777777" w:rsidR="00464A06" w:rsidRDefault="00464A06" w:rsidP="00464A06">
      <w:pPr>
        <w:pStyle w:val="Pargrafdellista"/>
        <w:ind w:left="360"/>
        <w:jc w:val="both"/>
        <w:rPr>
          <w:rFonts w:ascii="Titillium" w:eastAsia="Titillium" w:hAnsi="Titillium" w:cs="Titillium"/>
        </w:rPr>
      </w:pPr>
    </w:p>
    <w:p w14:paraId="5B79E0E7" w14:textId="77777777" w:rsidR="00464A06" w:rsidRDefault="00464A06" w:rsidP="00464A06">
      <w:pPr>
        <w:pStyle w:val="Pargrafdellista"/>
        <w:ind w:left="360"/>
        <w:jc w:val="both"/>
        <w:rPr>
          <w:rFonts w:ascii="Titillium" w:eastAsia="Titillium" w:hAnsi="Titillium" w:cs="Titillium"/>
        </w:rPr>
      </w:pPr>
      <w:r w:rsidRPr="636C4F36">
        <w:rPr>
          <w:rFonts w:ascii="Titillium" w:eastAsia="Titillium" w:hAnsi="Titillium" w:cs="Titillium"/>
        </w:rPr>
        <w:t>Local intelligence gathering:</w:t>
      </w:r>
    </w:p>
    <w:p w14:paraId="6DB5F341"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Maintain a fully updated understanding of the local innovation ecosystem, including its innovation needs and gaps; </w:t>
      </w:r>
    </w:p>
    <w:p w14:paraId="7841EFAF"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lastRenderedPageBreak/>
        <w:t>Build a stro</w:t>
      </w:r>
      <w:r w:rsidRPr="636C4F36">
        <w:rPr>
          <w:rFonts w:ascii="Titillium" w:eastAsia="Titillium" w:hAnsi="Titillium" w:cs="Titillium"/>
          <w:sz w:val="22"/>
        </w:rPr>
        <w:t xml:space="preserve">ng working relationship with the key local innovation stakeholders, including relevant NCPs and other national authorities, in order to highlight to the national authorities, the added value of the EIT, and influencing the national position in FP10 negotiations. Also, liaise with representatives of other innovation support actions present in the local innovation ecosystem, including the local COST National Coordinators and the Enterprise Europe Network representatives, or the local EIT Alumni network amongst others; </w:t>
      </w:r>
    </w:p>
    <w:p w14:paraId="1494FC25"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In cases where EIT Community support is not possible, refer local stakeholders to other support networks such those run by the national and regional authorities, Enterprise Europe Network, COST, </w:t>
      </w:r>
      <w:r w:rsidRPr="636C4F36">
        <w:rPr>
          <w:rFonts w:ascii="Titillium" w:eastAsia="Titillium" w:hAnsi="Titillium" w:cs="Titillium"/>
          <w:color w:val="auto"/>
          <w:sz w:val="22"/>
        </w:rPr>
        <w:t>or other support networks, such as those run by national and regional authorities, as well as those with which EIT has a Memorandum of Understanding (e.g. EPO, EUIPO, RCC)</w:t>
      </w:r>
      <w:r w:rsidRPr="636C4F36">
        <w:rPr>
          <w:rFonts w:ascii="Titillium" w:eastAsia="Titillium" w:hAnsi="Titillium" w:cs="Titillium"/>
        </w:rPr>
        <w:t>;</w:t>
      </w:r>
    </w:p>
    <w:p w14:paraId="3299DCC0"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sz w:val="22"/>
        </w:rPr>
        <w:t>Provide support, in close cooperation with other Hub Members and potentially other EIT Community Officers, to the EIT and the EIT KICs with navigating the local innovation landscape, including by:</w:t>
      </w:r>
    </w:p>
    <w:p w14:paraId="53B68C43" w14:textId="77777777" w:rsidR="00464A06" w:rsidRDefault="00464A06" w:rsidP="00464A06">
      <w:pPr>
        <w:pStyle w:val="Pargrafdellista"/>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t>contributing to the development of EIT maps / ecosystem mapping;</w:t>
      </w:r>
    </w:p>
    <w:p w14:paraId="1D2FD05E" w14:textId="77777777" w:rsidR="00464A06" w:rsidRDefault="00464A06" w:rsidP="00464A06">
      <w:pPr>
        <w:pStyle w:val="Pargrafdellista"/>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t xml:space="preserve">identifying and regularly reporting (potentially based on a template to be provided by the Regional Innovations </w:t>
      </w:r>
      <w:r w:rsidRPr="636C4F36">
        <w:rPr>
          <w:rFonts w:ascii="Titillium" w:eastAsia="Titillium" w:hAnsi="Titillium" w:cs="Titillium"/>
          <w:color w:val="auto"/>
        </w:rPr>
        <w:t xml:space="preserve">&amp; Internationalisation Cross-KIC/EIT Community </w:t>
      </w:r>
      <w:r w:rsidRPr="636C4F36">
        <w:rPr>
          <w:rFonts w:ascii="Titillium" w:eastAsia="Titillium" w:hAnsi="Titillium" w:cs="Titillium"/>
        </w:rPr>
        <w:t>Cluster) on the most pertinent challenges observed in delivering EIT activities and achieving results on a national and / or regional level, including observed political climate shifts, important regulatory changes, or other factors seen as potentially impacting the execution of EIT activities and outcomes.</w:t>
      </w:r>
    </w:p>
    <w:p w14:paraId="4E595A73" w14:textId="77777777" w:rsidR="00464A06" w:rsidRDefault="00464A06" w:rsidP="00464A06">
      <w:pPr>
        <w:pStyle w:val="Pargrafdellista"/>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t>identifying and regularly reporting (potentially based on a template to be provided by the Regional Innovations &amp; Internationalisaion Cross-KIC/</w:t>
      </w:r>
      <w:r w:rsidRPr="636C4F36">
        <w:rPr>
          <w:rFonts w:ascii="Titillium" w:eastAsia="Titillium" w:hAnsi="Titillium" w:cs="Titillium"/>
          <w:color w:val="auto"/>
        </w:rPr>
        <w:t xml:space="preserve">EIT Community </w:t>
      </w:r>
      <w:r w:rsidRPr="636C4F36">
        <w:rPr>
          <w:rFonts w:ascii="Titillium" w:eastAsia="Titillium" w:hAnsi="Titillium" w:cs="Titillium"/>
        </w:rPr>
        <w:t>Cluster) on identified unexplored potential opportunities and promising areas of growth, including shifts in policies or regulations, which encourage specific areas of promising development in terms of innovation.</w:t>
      </w:r>
    </w:p>
    <w:p w14:paraId="54EFBF60"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62283C19">
        <w:rPr>
          <w:rFonts w:ascii="Titillium" w:eastAsia="Titillium" w:hAnsi="Titillium" w:cs="Titillium"/>
          <w:color w:val="auto"/>
          <w:sz w:val="22"/>
        </w:rPr>
        <w:t xml:space="preserve">Coordinate the collection of local funding opportunities and relevant key national events and bring these to the attention to the EIT KICs, the Members of the EIT Community Hub Members, and other EIT KIC Offices; </w:t>
      </w:r>
    </w:p>
    <w:p w14:paraId="0C8D984D" w14:textId="77777777" w:rsidR="00464A06" w:rsidRDefault="00464A06" w:rsidP="00464A06">
      <w:pPr>
        <w:pStyle w:val="Pargrafdellista"/>
        <w:numPr>
          <w:ilvl w:val="0"/>
          <w:numId w:val="38"/>
        </w:numPr>
        <w:spacing w:after="160" w:line="259" w:lineRule="auto"/>
        <w:ind w:left="720"/>
        <w:jc w:val="both"/>
        <w:rPr>
          <w:rFonts w:ascii="Titillium" w:eastAsia="Titillium" w:hAnsi="Titillium" w:cs="Titillium"/>
        </w:rPr>
      </w:pPr>
      <w:r w:rsidRPr="77010471">
        <w:rPr>
          <w:rFonts w:ascii="Titillium" w:eastAsia="Titillium" w:hAnsi="Titillium" w:cs="Titillium"/>
        </w:rPr>
        <w:t>At the request of the EIT KICs, support any necessary updating of the local Country‐specific roadmap and support with its implementation, as appropriate;</w:t>
      </w:r>
    </w:p>
    <w:tbl>
      <w:tblPr>
        <w:tblStyle w:val="Taulaambquadrcula"/>
        <w:tblW w:w="0" w:type="auto"/>
        <w:tblLook w:val="06A0" w:firstRow="1" w:lastRow="0" w:firstColumn="1" w:lastColumn="0" w:noHBand="1" w:noVBand="1"/>
      </w:tblPr>
      <w:tblGrid>
        <w:gridCol w:w="8493"/>
      </w:tblGrid>
      <w:tr w:rsidR="00464A06" w14:paraId="573F1B61" w14:textId="77777777" w:rsidTr="00BC22D1">
        <w:trPr>
          <w:trHeight w:val="300"/>
        </w:trPr>
        <w:tc>
          <w:tcPr>
            <w:tcW w:w="9472" w:type="dxa"/>
            <w:shd w:val="clear" w:color="auto" w:fill="002060"/>
          </w:tcPr>
          <w:p w14:paraId="2F186DF5"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6E211649" w14:textId="77777777" w:rsidTr="00BC22D1">
        <w:trPr>
          <w:trHeight w:val="300"/>
        </w:trPr>
        <w:tc>
          <w:tcPr>
            <w:tcW w:w="9472" w:type="dxa"/>
          </w:tcPr>
          <w:p w14:paraId="2B0A4E1A" w14:textId="77777777" w:rsidR="00464A06" w:rsidRDefault="00464A06" w:rsidP="00BC22D1">
            <w:pPr>
              <w:pStyle w:val="Pargrafdellista"/>
              <w:ind w:left="0"/>
              <w:rPr>
                <w:rFonts w:ascii="Titillium" w:eastAsia="Titillium" w:hAnsi="Titillium" w:cs="Titillium"/>
                <w:u w:val="single"/>
              </w:rPr>
            </w:pPr>
            <w:r w:rsidRPr="636C4F36">
              <w:rPr>
                <w:rFonts w:ascii="Titillium" w:eastAsia="Titillium" w:hAnsi="Titillium" w:cs="Titillium"/>
                <w:u w:val="single"/>
              </w:rPr>
              <w:t>Local EIT Community Coordination:</w:t>
            </w:r>
          </w:p>
          <w:p w14:paraId="45630A92"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Memorandum of Understanding signed by all EIT Community Hub Members and updated, if needed</w:t>
            </w:r>
          </w:p>
          <w:p w14:paraId="039955B0" w14:textId="77777777" w:rsidR="00464A06" w:rsidRDefault="00464A06" w:rsidP="00464A06">
            <w:pPr>
              <w:pStyle w:val="Pargrafdellista"/>
              <w:numPr>
                <w:ilvl w:val="0"/>
                <w:numId w:val="34"/>
              </w:numPr>
              <w:spacing w:after="0" w:line="240" w:lineRule="auto"/>
              <w:ind w:left="180" w:hanging="180"/>
              <w:rPr>
                <w:rFonts w:ascii="Titillium" w:eastAsia="Titillium" w:hAnsi="Titillium" w:cs="Titillium"/>
                <w:u w:val="single"/>
              </w:rPr>
            </w:pPr>
            <w:r w:rsidRPr="636C4F36">
              <w:rPr>
                <w:rFonts w:ascii="Titillium" w:eastAsia="Titillium" w:hAnsi="Titillium" w:cs="Titillium"/>
                <w:u w:val="single"/>
              </w:rPr>
              <w:t>Local intelligence gathering:</w:t>
            </w:r>
          </w:p>
          <w:p w14:paraId="2C7901D4"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description document of the local innovation ecosystem, including needs and gaps, challenges observed in delivering EIT activities, unexplored opportunities (yearly updates)</w:t>
            </w:r>
          </w:p>
          <w:p w14:paraId="3947E108"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Report the engagement with National Authorities (including Ministries, NCP, etc) and the results of highlighting the EIT added value in the National and European innovation ecosystem.</w:t>
            </w:r>
          </w:p>
          <w:p w14:paraId="1590C088"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1 database of key local innovation stakeholders (including EIT Community Members, NCP, local EIT Alumni Community and other innovation support actions (organisation, contact details, and </w:t>
            </w:r>
            <w:r w:rsidRPr="00423AF0">
              <w:rPr>
                <w:rFonts w:ascii="Titillium" w:eastAsia="Titillium" w:hAnsi="Titillium" w:cs="Titillium"/>
                <w:lang w:val="en-GB"/>
              </w:rPr>
              <w:lastRenderedPageBreak/>
              <w:t>engagement, including referrals to other innovation support actions) to be considered as the EIT/local ecosystem map</w:t>
            </w:r>
          </w:p>
          <w:p w14:paraId="6D36E5F7" w14:textId="77777777" w:rsidR="00464A06" w:rsidRPr="00423AF0" w:rsidRDefault="00464A06" w:rsidP="00464A06">
            <w:pPr>
              <w:pStyle w:val="Pargrafdellista"/>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Upon request, support to the KICs’ update of the local Country-Specific Roadmap</w:t>
            </w:r>
          </w:p>
        </w:tc>
      </w:tr>
    </w:tbl>
    <w:p w14:paraId="0660DB8B" w14:textId="77777777" w:rsidR="00464A06" w:rsidRDefault="00464A06" w:rsidP="00464A06">
      <w:pPr>
        <w:jc w:val="both"/>
        <w:rPr>
          <w:rFonts w:ascii="Titillium" w:eastAsia="Titillium" w:hAnsi="Titillium" w:cs="Titillium"/>
        </w:rPr>
      </w:pPr>
    </w:p>
    <w:p w14:paraId="4CD32210" w14:textId="77777777" w:rsidR="00464A06" w:rsidRDefault="00464A06" w:rsidP="00464A06">
      <w:pPr>
        <w:pStyle w:val="Pargrafdellista"/>
        <w:ind w:left="0"/>
        <w:jc w:val="both"/>
        <w:rPr>
          <w:rFonts w:ascii="Titillium" w:eastAsia="Titillium" w:hAnsi="Titillium" w:cs="Titillium"/>
          <w:b/>
          <w:bCs/>
        </w:rPr>
      </w:pPr>
      <w:r w:rsidRPr="636C4F36">
        <w:rPr>
          <w:rFonts w:ascii="Titillium" w:eastAsia="Titillium" w:hAnsi="Titillium" w:cs="Titillium"/>
          <w:b/>
          <w:bCs/>
        </w:rPr>
        <w:t>Communication activities:</w:t>
      </w:r>
    </w:p>
    <w:p w14:paraId="5ACE8CFD" w14:textId="77777777" w:rsidR="00464A06" w:rsidRDefault="00464A06" w:rsidP="00464A06">
      <w:pPr>
        <w:pStyle w:val="Pargrafdellista"/>
        <w:numPr>
          <w:ilvl w:val="0"/>
          <w:numId w:val="39"/>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Collect information to share through applicable channels related the EIT KICs’ activities, events, results and opportunities of interest to local stakeholders with a view to their dissemination internally and externally; </w:t>
      </w:r>
    </w:p>
    <w:p w14:paraId="4103A332" w14:textId="77777777" w:rsidR="00464A06" w:rsidRDefault="00464A06" w:rsidP="00464A06">
      <w:pPr>
        <w:pStyle w:val="Pargrafdellista"/>
        <w:numPr>
          <w:ilvl w:val="0"/>
          <w:numId w:val="39"/>
        </w:numPr>
        <w:spacing w:after="160" w:line="259" w:lineRule="auto"/>
        <w:ind w:left="720"/>
        <w:jc w:val="both"/>
        <w:rPr>
          <w:rFonts w:ascii="Titillium" w:eastAsia="Titillium" w:hAnsi="Titillium" w:cs="Titillium"/>
        </w:rPr>
      </w:pPr>
      <w:r w:rsidRPr="636C4F36">
        <w:rPr>
          <w:rFonts w:ascii="Titillium" w:eastAsia="Titillium" w:hAnsi="Titillium" w:cs="Titillium"/>
        </w:rPr>
        <w:t>Coordinate and support local joint EIT Community communication efforts, including by managing and updating the EIT Community Hub website, in the local language, with information on EIT Community activities and opportunities, including dedicated sections targeted towards specific stakeholders, including, students, start-ups, national authorities and so on, as well as the EIT Community Hub social media channel;</w:t>
      </w:r>
    </w:p>
    <w:p w14:paraId="43989479" w14:textId="77777777" w:rsidR="00464A06" w:rsidRDefault="00464A06" w:rsidP="00464A06">
      <w:pPr>
        <w:pStyle w:val="Pargrafdellista"/>
        <w:numPr>
          <w:ilvl w:val="0"/>
          <w:numId w:val="39"/>
        </w:numPr>
        <w:spacing w:after="160" w:line="259" w:lineRule="auto"/>
        <w:ind w:left="720"/>
        <w:jc w:val="both"/>
        <w:rPr>
          <w:rFonts w:ascii="Titillium" w:eastAsia="Titillium" w:hAnsi="Titillium" w:cs="Titillium"/>
        </w:rPr>
      </w:pPr>
      <w:r w:rsidRPr="636C4F36">
        <w:rPr>
          <w:rFonts w:ascii="Titillium" w:eastAsia="Titillium" w:hAnsi="Titillium" w:cs="Titillium"/>
        </w:rPr>
        <w:t>Organise a kick-off event (for newly established EIT Community Hubs)</w:t>
      </w:r>
    </w:p>
    <w:tbl>
      <w:tblPr>
        <w:tblStyle w:val="Taulaambquadrcula"/>
        <w:tblW w:w="0" w:type="auto"/>
        <w:tblLook w:val="06A0" w:firstRow="1" w:lastRow="0" w:firstColumn="1" w:lastColumn="0" w:noHBand="1" w:noVBand="1"/>
      </w:tblPr>
      <w:tblGrid>
        <w:gridCol w:w="8493"/>
      </w:tblGrid>
      <w:tr w:rsidR="00464A06" w14:paraId="3303C3AE" w14:textId="77777777" w:rsidTr="00BC22D1">
        <w:trPr>
          <w:trHeight w:val="300"/>
        </w:trPr>
        <w:tc>
          <w:tcPr>
            <w:tcW w:w="9472" w:type="dxa"/>
            <w:shd w:val="clear" w:color="auto" w:fill="002060"/>
          </w:tcPr>
          <w:p w14:paraId="4F84C198"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1374291B" w14:textId="77777777" w:rsidTr="00BC22D1">
        <w:trPr>
          <w:trHeight w:val="300"/>
        </w:trPr>
        <w:tc>
          <w:tcPr>
            <w:tcW w:w="9472" w:type="dxa"/>
          </w:tcPr>
          <w:p w14:paraId="3276AD6C" w14:textId="77777777" w:rsidR="00464A06" w:rsidRPr="00423AF0" w:rsidRDefault="00464A06" w:rsidP="00464A06">
            <w:pPr>
              <w:pStyle w:val="Pargrafdellista"/>
              <w:numPr>
                <w:ilvl w:val="0"/>
                <w:numId w:val="33"/>
              </w:numPr>
              <w:spacing w:after="60" w:line="240" w:lineRule="auto"/>
              <w:ind w:left="180" w:hanging="180"/>
              <w:rPr>
                <w:rFonts w:ascii="Titillium" w:eastAsia="Titillium" w:hAnsi="Titillium" w:cs="Titillium"/>
                <w:lang w:val="en-GB"/>
              </w:rPr>
            </w:pPr>
            <w:r w:rsidRPr="00423AF0">
              <w:rPr>
                <w:rFonts w:ascii="Titillium" w:eastAsia="Titillium" w:hAnsi="Titillium" w:cs="Titillium"/>
                <w:lang w:val="en-GB"/>
              </w:rPr>
              <w:t>Country page in English and in the local language at the eit-ris.eu website, maintained by the RI&amp;I Cluster and attracted 100 visitors yearly</w:t>
            </w:r>
          </w:p>
          <w:p w14:paraId="0DE7DF74"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Social media analytics showing that the EIT Community Hub LinkedIn page increased the followers at least by 25% yearly; weekly 1 post in addition to the below mandatory posts linked to the KPIs and an average of 10 engagements per post</w:t>
            </w:r>
          </w:p>
        </w:tc>
      </w:tr>
    </w:tbl>
    <w:p w14:paraId="6A599A9E" w14:textId="77777777" w:rsidR="00464A06" w:rsidRDefault="00464A06" w:rsidP="00464A06">
      <w:pPr>
        <w:rPr>
          <w:rFonts w:ascii="Titillium" w:eastAsia="Titillium" w:hAnsi="Titillium" w:cs="Titillium"/>
        </w:rPr>
      </w:pPr>
    </w:p>
    <w:p w14:paraId="0A8D86E1" w14:textId="77777777" w:rsidR="00464A06" w:rsidRPr="00D90AD3" w:rsidRDefault="00464A06" w:rsidP="00464A06">
      <w:pPr>
        <w:jc w:val="both"/>
        <w:rPr>
          <w:rFonts w:asciiTheme="minorHAnsi" w:hAnsiTheme="minorHAnsi"/>
          <w:b/>
          <w:bCs/>
          <w:sz w:val="24"/>
          <w:szCs w:val="24"/>
        </w:rPr>
      </w:pPr>
      <w:bookmarkStart w:id="15" w:name="_Toc195922398"/>
      <w:bookmarkStart w:id="16" w:name="_Toc205312702"/>
      <w:r w:rsidRPr="7295751F">
        <w:rPr>
          <w:rFonts w:asciiTheme="minorHAnsi" w:hAnsiTheme="minorHAnsi"/>
          <w:b/>
          <w:bCs/>
          <w:sz w:val="24"/>
          <w:szCs w:val="24"/>
        </w:rPr>
        <w:t>Work package 2 – Local Community Development for Innovation, Education, Business Creation</w:t>
      </w:r>
      <w:bookmarkEnd w:id="15"/>
      <w:bookmarkEnd w:id="16"/>
    </w:p>
    <w:p w14:paraId="727C134B" w14:textId="77777777" w:rsidR="00464A06" w:rsidRDefault="00464A06" w:rsidP="00464A06">
      <w:pPr>
        <w:pStyle w:val="Pargrafdellista"/>
        <w:numPr>
          <w:ilvl w:val="0"/>
          <w:numId w:val="36"/>
        </w:numPr>
        <w:spacing w:after="160" w:line="259" w:lineRule="auto"/>
        <w:jc w:val="both"/>
        <w:rPr>
          <w:rFonts w:ascii="Titillium" w:eastAsia="Titillium" w:hAnsi="Titillium" w:cs="Titillium"/>
        </w:rPr>
      </w:pPr>
      <w:r w:rsidRPr="636C4F36">
        <w:rPr>
          <w:rFonts w:ascii="Titillium" w:eastAsia="Titillium" w:hAnsi="Titillium" w:cs="Titillium"/>
        </w:rPr>
        <w:t xml:space="preserve">Serve as a centralised contact gateway for local stakeholders to the EIT Community as a whole, and refer stakeholders to contact persons within other relevant EIT KICs, best suited to support their needs and, and support applicants to RI&amp;I Cluster or KIC calls, or when EIT Community offer is not available refer to other EU innovation support actions, such as COST, EUREKA, EEN, EPO, EUIPO, etc. </w:t>
      </w:r>
    </w:p>
    <w:p w14:paraId="1CFD0EDF" w14:textId="77777777" w:rsidR="00464A06" w:rsidRDefault="00464A06" w:rsidP="00464A06">
      <w:pPr>
        <w:pStyle w:val="Pargrafdellista"/>
        <w:jc w:val="both"/>
        <w:rPr>
          <w:rFonts w:ascii="Titillium" w:eastAsia="Titillium" w:hAnsi="Titillium" w:cs="Titillium"/>
        </w:rPr>
      </w:pPr>
    </w:p>
    <w:tbl>
      <w:tblPr>
        <w:tblStyle w:val="Taulaambquadrcula"/>
        <w:tblW w:w="0" w:type="auto"/>
        <w:tblLook w:val="06A0" w:firstRow="1" w:lastRow="0" w:firstColumn="1" w:lastColumn="0" w:noHBand="1" w:noVBand="1"/>
      </w:tblPr>
      <w:tblGrid>
        <w:gridCol w:w="8493"/>
      </w:tblGrid>
      <w:tr w:rsidR="00464A06" w14:paraId="5E17D186" w14:textId="77777777" w:rsidTr="00BC22D1">
        <w:trPr>
          <w:trHeight w:val="300"/>
        </w:trPr>
        <w:tc>
          <w:tcPr>
            <w:tcW w:w="9472" w:type="dxa"/>
            <w:shd w:val="clear" w:color="auto" w:fill="002060"/>
          </w:tcPr>
          <w:p w14:paraId="333046C5"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12F61DE7" w14:textId="77777777" w:rsidTr="00BC22D1">
        <w:trPr>
          <w:trHeight w:val="300"/>
        </w:trPr>
        <w:tc>
          <w:tcPr>
            <w:tcW w:w="9472" w:type="dxa"/>
          </w:tcPr>
          <w:p w14:paraId="52CDF957"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Reports on submitted applications supported/facilitated by the ECO </w:t>
            </w:r>
          </w:p>
          <w:p w14:paraId="42E35B84"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Personalised outreach monitoring excel filled in </w:t>
            </w:r>
          </w:p>
          <w:p w14:paraId="273AB9C9" w14:textId="77777777" w:rsidR="00464A06" w:rsidRPr="00423AF0" w:rsidRDefault="00464A06" w:rsidP="00464A06">
            <w:pPr>
              <w:numPr>
                <w:ilvl w:val="1"/>
                <w:numId w:val="33"/>
              </w:numPr>
              <w:spacing w:after="0" w:line="240" w:lineRule="auto"/>
              <w:ind w:left="630" w:hanging="180"/>
              <w:rPr>
                <w:rFonts w:ascii="Titillium" w:eastAsia="Titillium" w:hAnsi="Titillium" w:cs="Titillium"/>
                <w:lang w:val="en-GB"/>
              </w:rPr>
            </w:pPr>
            <w:r w:rsidRPr="00423AF0">
              <w:rPr>
                <w:rFonts w:ascii="Titillium" w:eastAsia="Titillium" w:hAnsi="Titillium" w:cs="Titillium"/>
                <w:lang w:val="en-GB"/>
              </w:rPr>
              <w:t>Social media analytics showing 5 LinkedIn posts per RI&amp;I strands with an average 10 engagements generated</w:t>
            </w:r>
          </w:p>
        </w:tc>
      </w:tr>
    </w:tbl>
    <w:p w14:paraId="06E5DE25" w14:textId="77777777" w:rsidR="00464A06" w:rsidRDefault="00464A06" w:rsidP="00464A06">
      <w:pPr>
        <w:jc w:val="both"/>
        <w:rPr>
          <w:rFonts w:ascii="Titillium" w:eastAsia="Titillium" w:hAnsi="Titillium" w:cs="Titillium"/>
        </w:rPr>
      </w:pPr>
    </w:p>
    <w:p w14:paraId="3B87DFE6" w14:textId="77777777" w:rsidR="00464A06" w:rsidRPr="00D90AD3" w:rsidRDefault="00464A06" w:rsidP="00464A06">
      <w:pPr>
        <w:jc w:val="both"/>
        <w:rPr>
          <w:rFonts w:asciiTheme="minorHAnsi" w:hAnsiTheme="minorHAnsi"/>
          <w:b/>
          <w:bCs/>
          <w:sz w:val="24"/>
          <w:szCs w:val="24"/>
        </w:rPr>
      </w:pPr>
      <w:bookmarkStart w:id="17" w:name="_Toc2088306111"/>
      <w:bookmarkStart w:id="18" w:name="_Toc205312703"/>
      <w:r w:rsidRPr="7295751F">
        <w:rPr>
          <w:rFonts w:asciiTheme="minorHAnsi" w:hAnsiTheme="minorHAnsi"/>
          <w:b/>
          <w:bCs/>
          <w:sz w:val="24"/>
          <w:szCs w:val="24"/>
        </w:rPr>
        <w:t>Work package 3 – Business Development for Financial sustainability</w:t>
      </w:r>
      <w:bookmarkEnd w:id="17"/>
      <w:bookmarkEnd w:id="18"/>
    </w:p>
    <w:p w14:paraId="66A545B5" w14:textId="77777777" w:rsidR="00464A06" w:rsidRDefault="00464A06" w:rsidP="00464A06">
      <w:pPr>
        <w:pStyle w:val="Pargrafdellista"/>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Coordinate the collection of local funding opportunities (public, private grants, sponsorship, investments, etc.) and bring these to the attention to the EIT KICs, the Members of the EIT Community Hub, and other EIT KIC Offices;</w:t>
      </w:r>
    </w:p>
    <w:p w14:paraId="6D7011B5" w14:textId="77777777" w:rsidR="00464A06" w:rsidRDefault="00464A06" w:rsidP="00464A06">
      <w:pPr>
        <w:pStyle w:val="Pargrafdellista"/>
        <w:numPr>
          <w:ilvl w:val="0"/>
          <w:numId w:val="40"/>
        </w:numPr>
        <w:spacing w:after="160" w:line="259" w:lineRule="auto"/>
        <w:ind w:left="720"/>
        <w:jc w:val="both"/>
        <w:rPr>
          <w:rFonts w:ascii="Titillium" w:eastAsia="Titillium" w:hAnsi="Titillium" w:cs="Titillium"/>
        </w:rPr>
      </w:pPr>
      <w:r w:rsidRPr="1F95E526">
        <w:rPr>
          <w:rFonts w:ascii="Titillium" w:eastAsia="Titillium" w:hAnsi="Titillium" w:cs="Titillium"/>
        </w:rPr>
        <w:lastRenderedPageBreak/>
        <w:t>Support the fundraising (public, private funding, investment, service sold) for Jumpstarter, Global Outreach and Regional Innovation Booster</w:t>
      </w:r>
      <w:r w:rsidRPr="1F95E526">
        <w:rPr>
          <w:rStyle w:val="Refernciadenotaapeudepgina"/>
          <w:rFonts w:ascii="Titillium" w:eastAsia="Titillium" w:hAnsi="Titillium" w:cs="Titillium"/>
        </w:rPr>
        <w:footnoteReference w:id="4"/>
      </w:r>
      <w:r w:rsidRPr="1F95E526">
        <w:rPr>
          <w:rFonts w:ascii="Titillium" w:eastAsia="Titillium" w:hAnsi="Titillium" w:cs="Titillium"/>
        </w:rPr>
        <w:t xml:space="preserve"> supported startups/scaleups</w:t>
      </w:r>
    </w:p>
    <w:p w14:paraId="7F644E9A" w14:textId="77777777" w:rsidR="00464A06" w:rsidRDefault="00464A06" w:rsidP="00464A06">
      <w:pPr>
        <w:pStyle w:val="Pargrafdellista"/>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Facilitate the purchase of Global Outreach Academy module or KIC innovation services, education programmes by local stakeholders</w:t>
      </w:r>
    </w:p>
    <w:p w14:paraId="462861E8" w14:textId="77777777" w:rsidR="00464A06" w:rsidRDefault="00464A06" w:rsidP="00464A06">
      <w:pPr>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Refer membership fee paying partners for KICs</w:t>
      </w:r>
    </w:p>
    <w:p w14:paraId="1640D3C8" w14:textId="77777777" w:rsidR="00464A06" w:rsidRDefault="00464A06" w:rsidP="00464A06">
      <w:pPr>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Facilitate the co-funding to, co-investment with KIC programmes</w:t>
      </w:r>
      <w:r>
        <w:br/>
      </w:r>
    </w:p>
    <w:tbl>
      <w:tblPr>
        <w:tblStyle w:val="Taulaambquadrcula"/>
        <w:tblW w:w="0" w:type="auto"/>
        <w:tblLook w:val="06A0" w:firstRow="1" w:lastRow="0" w:firstColumn="1" w:lastColumn="0" w:noHBand="1" w:noVBand="1"/>
      </w:tblPr>
      <w:tblGrid>
        <w:gridCol w:w="8493"/>
      </w:tblGrid>
      <w:tr w:rsidR="00464A06" w14:paraId="10B2F1EF" w14:textId="77777777" w:rsidTr="00BC22D1">
        <w:trPr>
          <w:trHeight w:val="300"/>
        </w:trPr>
        <w:tc>
          <w:tcPr>
            <w:tcW w:w="9472" w:type="dxa"/>
            <w:shd w:val="clear" w:color="auto" w:fill="002060"/>
          </w:tcPr>
          <w:p w14:paraId="5009529B"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353E39D9" w14:textId="77777777" w:rsidTr="00BC22D1">
        <w:trPr>
          <w:trHeight w:val="300"/>
        </w:trPr>
        <w:tc>
          <w:tcPr>
            <w:tcW w:w="9472" w:type="dxa"/>
          </w:tcPr>
          <w:p w14:paraId="3BF80756"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funding map as excel table with local funding opportunities (source of funding, target group of the local funding and contribution to the Financial Sustainability) and yearly update</w:t>
            </w:r>
          </w:p>
        </w:tc>
      </w:tr>
    </w:tbl>
    <w:p w14:paraId="2F3DF7E0" w14:textId="77777777" w:rsidR="00464A06" w:rsidRDefault="00464A06" w:rsidP="00464A06">
      <w:pPr>
        <w:pStyle w:val="Pargrafdellista"/>
        <w:ind w:hanging="360"/>
        <w:jc w:val="both"/>
        <w:rPr>
          <w:rFonts w:ascii="Titillium" w:eastAsia="Titillium" w:hAnsi="Titillium" w:cs="Titillium"/>
        </w:rPr>
      </w:pPr>
    </w:p>
    <w:p w14:paraId="775B0F22" w14:textId="77777777" w:rsidR="00464A06" w:rsidRPr="00D90AD3" w:rsidRDefault="00464A06" w:rsidP="00464A06">
      <w:pPr>
        <w:jc w:val="both"/>
        <w:rPr>
          <w:rFonts w:asciiTheme="minorHAnsi" w:hAnsiTheme="minorHAnsi"/>
          <w:b/>
          <w:bCs/>
          <w:sz w:val="24"/>
          <w:szCs w:val="24"/>
        </w:rPr>
      </w:pPr>
      <w:bookmarkStart w:id="19" w:name="_Toc592985769"/>
      <w:bookmarkStart w:id="20" w:name="_Toc205312704"/>
      <w:r w:rsidRPr="7295751F">
        <w:rPr>
          <w:rFonts w:asciiTheme="minorHAnsi" w:hAnsiTheme="minorHAnsi"/>
          <w:b/>
          <w:bCs/>
          <w:sz w:val="24"/>
          <w:szCs w:val="24"/>
        </w:rPr>
        <w:t>Work package 4 – External fundraising for additional activities of the EIT Community Hub contributing to EIT KPIs</w:t>
      </w:r>
      <w:bookmarkEnd w:id="19"/>
      <w:bookmarkEnd w:id="20"/>
    </w:p>
    <w:p w14:paraId="7B60857B" w14:textId="77777777" w:rsidR="00464A06" w:rsidRDefault="00464A06" w:rsidP="00464A06">
      <w:pPr>
        <w:pStyle w:val="Pargrafdellista"/>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Scout for and recommend to the EIT KICs opportunities to implement joint projects, including projects involving local authorities and institutions, financed through other EU / national / regional funds (including ESIF and IPA III) as well as local talent which could be supported via the portfolio of opportunities offered by the EIT Community; </w:t>
      </w:r>
    </w:p>
    <w:p w14:paraId="40EDC2E2" w14:textId="77777777" w:rsidR="00464A06" w:rsidRDefault="00464A06" w:rsidP="00464A06">
      <w:pPr>
        <w:pStyle w:val="Pargrafdellista"/>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Contribute to, support and where appropriate, with the agreements of the EIT KICs, lead any horizontal exploratory efforts towards securing co-funding opportunities, including matching KIC thematic area with the local RIS3 priorities, securing meetings with relevant national / regional authorities and facilitate the preparation for the submission of joint proposals for national / regional funding in case of general EIT Community actions;</w:t>
      </w:r>
    </w:p>
    <w:p w14:paraId="7C5A3409" w14:textId="77777777" w:rsidR="00464A06" w:rsidRDefault="00464A06" w:rsidP="00464A06">
      <w:pPr>
        <w:pStyle w:val="Pargrafdellista"/>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Suggest and support, including, where appropriate and with the agreement of the EIT KICs, lead, the implementation of possible joint activities amongst the EIT KICs, to be implemented nationally and / or regionally, aligned with relevant RIS3 priorities;</w:t>
      </w:r>
    </w:p>
    <w:p w14:paraId="2B8B389A" w14:textId="77777777" w:rsidR="00464A06" w:rsidRDefault="00464A06" w:rsidP="00464A06">
      <w:pPr>
        <w:rPr>
          <w:rFonts w:ascii="Titillium" w:eastAsia="Titillium" w:hAnsi="Titillium" w:cs="Titillium"/>
        </w:rPr>
      </w:pPr>
    </w:p>
    <w:p w14:paraId="17074530" w14:textId="77777777" w:rsidR="00464A06" w:rsidRDefault="00464A06" w:rsidP="00464A06">
      <w:pPr>
        <w:rPr>
          <w:rFonts w:ascii="Titillium" w:eastAsia="Titillium" w:hAnsi="Titillium" w:cs="Titillium"/>
        </w:rPr>
      </w:pPr>
    </w:p>
    <w:p w14:paraId="0CF602BB" w14:textId="77777777" w:rsidR="00464A06" w:rsidRDefault="00464A06" w:rsidP="00464A06">
      <w:pPr>
        <w:rPr>
          <w:rFonts w:ascii="Titillium" w:eastAsia="Titillium" w:hAnsi="Titillium" w:cs="Titillium"/>
        </w:rPr>
      </w:pPr>
    </w:p>
    <w:tbl>
      <w:tblPr>
        <w:tblStyle w:val="Taulaambquadrcula"/>
        <w:tblW w:w="0" w:type="auto"/>
        <w:tblLook w:val="06A0" w:firstRow="1" w:lastRow="0" w:firstColumn="1" w:lastColumn="0" w:noHBand="1" w:noVBand="1"/>
      </w:tblPr>
      <w:tblGrid>
        <w:gridCol w:w="8493"/>
      </w:tblGrid>
      <w:tr w:rsidR="00464A06" w14:paraId="4E1F1EE7" w14:textId="77777777" w:rsidTr="00BC22D1">
        <w:trPr>
          <w:trHeight w:val="300"/>
        </w:trPr>
        <w:tc>
          <w:tcPr>
            <w:tcW w:w="9472" w:type="dxa"/>
            <w:shd w:val="clear" w:color="auto" w:fill="002060"/>
          </w:tcPr>
          <w:p w14:paraId="54D36D90"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39148683" w14:textId="77777777" w:rsidTr="00BC22D1">
        <w:trPr>
          <w:trHeight w:val="300"/>
        </w:trPr>
        <w:tc>
          <w:tcPr>
            <w:tcW w:w="9472" w:type="dxa"/>
          </w:tcPr>
          <w:p w14:paraId="1AF16BD9"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joint project proposal submitted for ESIF or IPA III funding with value of at least 10K€</w:t>
            </w:r>
          </w:p>
          <w:p w14:paraId="3AC314D6"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submitted proposal in relation to RIS3 priorities for national / regional funding with value of at least 10K€</w:t>
            </w:r>
          </w:p>
          <w:p w14:paraId="690327A3" w14:textId="77777777" w:rsidR="00464A06" w:rsidRPr="00423AF0" w:rsidRDefault="00464A06" w:rsidP="00464A06">
            <w:pPr>
              <w:pStyle w:val="Pargrafdellista"/>
              <w:numPr>
                <w:ilvl w:val="0"/>
                <w:numId w:val="33"/>
              </w:numPr>
              <w:spacing w:after="0" w:line="240" w:lineRule="auto"/>
              <w:ind w:left="180" w:hanging="180"/>
              <w:rPr>
                <w:rFonts w:ascii="Titillium" w:eastAsia="Titillium" w:hAnsi="Titillium" w:cs="Titillium"/>
                <w:lang w:val="en-GB"/>
              </w:rPr>
            </w:pPr>
          </w:p>
        </w:tc>
      </w:tr>
    </w:tbl>
    <w:p w14:paraId="63791173" w14:textId="77777777" w:rsidR="00464A06" w:rsidRDefault="00464A06" w:rsidP="00464A06">
      <w:pPr>
        <w:rPr>
          <w:rFonts w:ascii="Titillium" w:eastAsia="Titillium" w:hAnsi="Titillium" w:cs="Titillium"/>
        </w:rPr>
      </w:pPr>
    </w:p>
    <w:p w14:paraId="369F5C05" w14:textId="77777777" w:rsidR="00464A06" w:rsidRPr="00D90AD3" w:rsidRDefault="00464A06" w:rsidP="00464A06">
      <w:pPr>
        <w:jc w:val="both"/>
        <w:rPr>
          <w:rFonts w:asciiTheme="minorHAnsi" w:hAnsiTheme="minorHAnsi"/>
          <w:b/>
          <w:bCs/>
          <w:sz w:val="24"/>
          <w:szCs w:val="24"/>
        </w:rPr>
      </w:pPr>
      <w:bookmarkStart w:id="21" w:name="_Toc2102295572"/>
      <w:bookmarkStart w:id="22" w:name="_Toc205312705"/>
      <w:r w:rsidRPr="7295751F">
        <w:rPr>
          <w:rFonts w:asciiTheme="minorHAnsi" w:hAnsiTheme="minorHAnsi"/>
          <w:b/>
          <w:bCs/>
          <w:sz w:val="24"/>
          <w:szCs w:val="24"/>
        </w:rPr>
        <w:lastRenderedPageBreak/>
        <w:t>4.2. Optional activities</w:t>
      </w:r>
      <w:bookmarkEnd w:id="21"/>
      <w:bookmarkEnd w:id="22"/>
    </w:p>
    <w:p w14:paraId="1A99ED3B"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1</w:t>
      </w:r>
      <w:r w:rsidRPr="636C4F36">
        <w:rPr>
          <w:rFonts w:ascii="Titillium" w:eastAsia="Titillium" w:hAnsi="Titillium" w:cs="Titillium"/>
          <w:b/>
          <w:bCs/>
        </w:rPr>
        <w:t xml:space="preserve"> – Administration/Coordination/Communication</w:t>
      </w:r>
    </w:p>
    <w:p w14:paraId="1E2EB9DE" w14:textId="77777777" w:rsidR="00464A06" w:rsidRDefault="00464A06" w:rsidP="00464A06">
      <w:pPr>
        <w:pStyle w:val="Pargrafdellista"/>
        <w:numPr>
          <w:ilvl w:val="0"/>
          <w:numId w:val="31"/>
        </w:numPr>
        <w:spacing w:after="160" w:line="259" w:lineRule="auto"/>
        <w:rPr>
          <w:rFonts w:ascii="Titillium" w:eastAsia="Titillium" w:hAnsi="Titillium" w:cs="Titillium"/>
          <w:b/>
          <w:bCs/>
        </w:rPr>
      </w:pPr>
      <w:r w:rsidRPr="636C4F36">
        <w:rPr>
          <w:rFonts w:ascii="Titillium" w:eastAsia="Titillium" w:hAnsi="Titillium" w:cs="Titillium"/>
        </w:rPr>
        <w:t>Participate in national policy dialogues in relation to the knowledge triangle</w:t>
      </w:r>
      <w:r w:rsidRPr="636C4F36">
        <w:rPr>
          <w:rFonts w:ascii="Titillium" w:eastAsia="Titillium" w:hAnsi="Titillium" w:cs="Titillium"/>
          <w:b/>
          <w:bCs/>
        </w:rPr>
        <w:t xml:space="preserve"> </w:t>
      </w:r>
    </w:p>
    <w:p w14:paraId="019D2D6E" w14:textId="77777777" w:rsidR="00464A06" w:rsidRDefault="00464A06" w:rsidP="00464A06">
      <w:pPr>
        <w:pStyle w:val="Pargrafdellista"/>
        <w:numPr>
          <w:ilvl w:val="0"/>
          <w:numId w:val="31"/>
        </w:numPr>
        <w:spacing w:after="160" w:line="259" w:lineRule="auto"/>
        <w:rPr>
          <w:rFonts w:ascii="Titillium" w:eastAsia="Titillium" w:hAnsi="Titillium" w:cs="Titillium"/>
        </w:rPr>
      </w:pPr>
      <w:r w:rsidRPr="636C4F36">
        <w:rPr>
          <w:rFonts w:ascii="Titillium" w:eastAsia="Titillium" w:hAnsi="Titillium" w:cs="Titillium"/>
          <w:color w:val="auto"/>
          <w:sz w:val="22"/>
        </w:rPr>
        <w:t>Lead or support press announcements (in close alignment with the RI&amp;I)</w:t>
      </w:r>
    </w:p>
    <w:p w14:paraId="05E475C9" w14:textId="77777777" w:rsidR="00464A06" w:rsidRDefault="00464A06" w:rsidP="00464A06">
      <w:pPr>
        <w:pStyle w:val="Pargrafdellista"/>
        <w:numPr>
          <w:ilvl w:val="0"/>
          <w:numId w:val="31"/>
        </w:numPr>
        <w:spacing w:after="160" w:line="259" w:lineRule="auto"/>
        <w:rPr>
          <w:rFonts w:ascii="Titillium" w:eastAsia="Titillium" w:hAnsi="Titillium" w:cs="Titillium"/>
        </w:rPr>
      </w:pPr>
      <w:r w:rsidRPr="636C4F36">
        <w:rPr>
          <w:rFonts w:ascii="Titillium" w:eastAsia="Titillium" w:hAnsi="Titillium" w:cs="Titillium"/>
          <w:color w:val="auto"/>
          <w:sz w:val="22"/>
        </w:rPr>
        <w:t>Collect testimonials/impact stories</w:t>
      </w:r>
    </w:p>
    <w:p w14:paraId="28874290" w14:textId="77777777" w:rsidR="00464A06" w:rsidRDefault="00464A06" w:rsidP="00464A06">
      <w:pPr>
        <w:pStyle w:val="Pargrafdellista"/>
        <w:numPr>
          <w:ilvl w:val="0"/>
          <w:numId w:val="31"/>
        </w:numPr>
        <w:spacing w:after="160" w:line="259" w:lineRule="auto"/>
        <w:rPr>
          <w:rFonts w:ascii="Titillium" w:eastAsia="Titillium" w:hAnsi="Titillium" w:cs="Titillium"/>
        </w:rPr>
      </w:pPr>
      <w:r w:rsidRPr="62283C19">
        <w:rPr>
          <w:rFonts w:ascii="Titillium" w:eastAsia="Titillium" w:hAnsi="Titillium" w:cs="Titillium"/>
          <w:color w:val="auto"/>
          <w:sz w:val="22"/>
        </w:rPr>
        <w:t>Provide data on the local EIT-supported start-ups’ development (such as new customers, external funding obtained etc.)</w:t>
      </w:r>
    </w:p>
    <w:p w14:paraId="68116988"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2</w:t>
      </w:r>
      <w:r w:rsidRPr="636C4F36">
        <w:rPr>
          <w:rFonts w:ascii="Titillium" w:eastAsia="Titillium" w:hAnsi="Titillium" w:cs="Titillium"/>
          <w:b/>
          <w:bCs/>
        </w:rPr>
        <w:t xml:space="preserve"> – Local Community Development for Innovation, Education, Business Creation</w:t>
      </w:r>
    </w:p>
    <w:p w14:paraId="7F0A7170"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Facilitating the organisation of EIT Community awareness-raising events </w:t>
      </w:r>
    </w:p>
    <w:p w14:paraId="4EAED4EA"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Presentation of RI&amp;I and KIC opportunities at external events by the EIT Community Officer or by the KIC or Cluster representative </w:t>
      </w:r>
    </w:p>
    <w:p w14:paraId="242AFF55"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Website posts at external organisations facilitated by the ECO</w:t>
      </w:r>
    </w:p>
    <w:p w14:paraId="2092300E"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Personalised support with 1:1 advisory service (e.g.: coaching sessions) </w:t>
      </w:r>
    </w:p>
    <w:p w14:paraId="234A4A33"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Promotion via newsletter posts (EIT Community Hub or third party) </w:t>
      </w:r>
    </w:p>
    <w:p w14:paraId="740D5A72" w14:textId="77777777" w:rsidR="00464A06" w:rsidRDefault="00464A06" w:rsidP="00464A06">
      <w:pPr>
        <w:pStyle w:val="Pargrafdellista"/>
        <w:numPr>
          <w:ilvl w:val="0"/>
          <w:numId w:val="32"/>
        </w:numPr>
        <w:spacing w:after="160" w:line="259" w:lineRule="auto"/>
        <w:rPr>
          <w:rFonts w:ascii="Titillium" w:eastAsia="Titillium" w:hAnsi="Titillium" w:cs="Titillium"/>
        </w:rPr>
      </w:pPr>
      <w:r w:rsidRPr="636C4F36">
        <w:rPr>
          <w:rFonts w:ascii="Titillium" w:eastAsia="Titillium" w:hAnsi="Titillium" w:cs="Titillium"/>
        </w:rPr>
        <w:t>Public communication through programme-specific media mentions</w:t>
      </w:r>
    </w:p>
    <w:p w14:paraId="3F53B20A"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3</w:t>
      </w:r>
      <w:r w:rsidRPr="636C4F36">
        <w:rPr>
          <w:rFonts w:ascii="Titillium" w:eastAsia="Titillium" w:hAnsi="Titillium" w:cs="Titillium"/>
          <w:b/>
          <w:bCs/>
        </w:rPr>
        <w:t xml:space="preserve"> – Business Development for Financial sustainability</w:t>
      </w:r>
    </w:p>
    <w:p w14:paraId="08E1EF65" w14:textId="77777777" w:rsidR="00464A06" w:rsidRDefault="00464A06" w:rsidP="00464A06">
      <w:pPr>
        <w:pStyle w:val="Pargrafdellista"/>
        <w:numPr>
          <w:ilvl w:val="0"/>
          <w:numId w:val="30"/>
        </w:numPr>
        <w:spacing w:after="160" w:line="259" w:lineRule="auto"/>
        <w:rPr>
          <w:rFonts w:ascii="Titillium" w:eastAsia="Titillium" w:hAnsi="Titillium" w:cs="Titillium"/>
        </w:rPr>
      </w:pPr>
      <w:r w:rsidRPr="62283C19">
        <w:rPr>
          <w:rFonts w:ascii="Titillium" w:eastAsia="Titillium" w:hAnsi="Titillium" w:cs="Titillium"/>
        </w:rPr>
        <w:t>Arrangement of funding by the national authorities to reimburse membership fees for KIC partners</w:t>
      </w:r>
    </w:p>
    <w:p w14:paraId="5EA9AD49" w14:textId="77777777" w:rsidR="00464A06" w:rsidRDefault="00464A06" w:rsidP="00464A06">
      <w:pPr>
        <w:pStyle w:val="Pargrafdellista"/>
        <w:numPr>
          <w:ilvl w:val="0"/>
          <w:numId w:val="30"/>
        </w:numPr>
        <w:spacing w:after="160" w:line="259" w:lineRule="auto"/>
        <w:rPr>
          <w:rFonts w:ascii="Titillium" w:eastAsia="Titillium" w:hAnsi="Titillium" w:cs="Titillium"/>
        </w:rPr>
      </w:pPr>
      <w:r w:rsidRPr="636C4F36">
        <w:rPr>
          <w:rFonts w:ascii="Titillium" w:eastAsia="Titillium" w:hAnsi="Titillium" w:cs="Titillium"/>
          <w:color w:val="auto"/>
          <w:sz w:val="22"/>
        </w:rPr>
        <w:t xml:space="preserve">Contacts for funding by the national authorities to pilot the EIT Regional Innovation Booster in a country (other than Poland, Malta, Hungary, Croatia) </w:t>
      </w:r>
      <w:r w:rsidRPr="636C4F36">
        <w:rPr>
          <w:rFonts w:ascii="Titillium" w:eastAsia="Titillium" w:hAnsi="Titillium" w:cs="Titillium"/>
          <w:color w:val="auto"/>
        </w:rPr>
        <w:t xml:space="preserve"> </w:t>
      </w:r>
    </w:p>
    <w:p w14:paraId="2E69C12E" w14:textId="77777777" w:rsidR="00464A06" w:rsidRDefault="00464A06" w:rsidP="00464A06">
      <w:pPr>
        <w:rPr>
          <w:rFonts w:ascii="Titillium" w:eastAsia="Titillium" w:hAnsi="Titillium" w:cs="Titillium"/>
        </w:rPr>
      </w:pPr>
    </w:p>
    <w:p w14:paraId="2A24DEA0" w14:textId="77777777" w:rsidR="00464A06" w:rsidRPr="00D90AD3" w:rsidRDefault="00464A06" w:rsidP="00464A06">
      <w:pPr>
        <w:jc w:val="both"/>
        <w:rPr>
          <w:rFonts w:asciiTheme="minorHAnsi" w:hAnsiTheme="minorHAnsi"/>
          <w:szCs w:val="20"/>
        </w:rPr>
      </w:pPr>
      <w:bookmarkStart w:id="23" w:name="_Toc2099486536"/>
      <w:bookmarkStart w:id="24" w:name="_Toc205312706"/>
      <w:r w:rsidRPr="7295751F">
        <w:rPr>
          <w:rFonts w:asciiTheme="minorHAnsi" w:hAnsiTheme="minorHAnsi"/>
          <w:szCs w:val="20"/>
        </w:rPr>
        <w:t>Performance monitoring and assessment</w:t>
      </w:r>
      <w:bookmarkEnd w:id="23"/>
      <w:bookmarkEnd w:id="24"/>
      <w:r w:rsidRPr="7295751F">
        <w:rPr>
          <w:rFonts w:asciiTheme="minorHAnsi" w:hAnsiTheme="minorHAnsi"/>
          <w:szCs w:val="20"/>
        </w:rPr>
        <w:t xml:space="preserve"> </w:t>
      </w:r>
    </w:p>
    <w:p w14:paraId="637D5C97"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EIT Community Officers will be overall monitored and evaluated by the EIT Community Regional Innovation and Internationalisation (RI&amp;I) EIT Community Cluster, although they will be supported by one lead KIC in each country, which will be responsible for contracting and monitoring the EIT Community Officer. </w:t>
      </w:r>
    </w:p>
    <w:p w14:paraId="5B55FD1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performance of EIT Community Officers is measured through a unified and simplified evaluation and reporting system. The EIT Community Officer prepares yearly activity plans with quarterly planning of the activities, KPIs, metrics and insert the approved activities, metrics, KPIs to the online platform provided by the RI&amp;I Cluster.  </w:t>
      </w:r>
    </w:p>
    <w:p w14:paraId="0CDB85A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Monthly, the ECO updates its progress within the online platform of the RI&amp;I Cluster and briefs the status of the implementation of the Activity Plan to the lead KIC SPOC in the monthly monitoring meeting.</w:t>
      </w:r>
    </w:p>
    <w:p w14:paraId="5CA3C5F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Quarterly, the ECO reports are collected in the format of an appealing presentation and shared with lead KIC SPOCs. The lead KIC SPOC presents the quarterly results with traffic light assessment to the SRI Cluster Steering Committee and to EIT.</w:t>
      </w:r>
    </w:p>
    <w:p w14:paraId="11ED79B5"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lastRenderedPageBreak/>
        <w:t xml:space="preserve">Assessment of the performance of the EIT Community Hub is both quantitative and qualitative and done quarterly, accumulating to a yearly final assessment. </w:t>
      </w:r>
    </w:p>
    <w:p w14:paraId="5E62CF59" w14:textId="77777777" w:rsidR="00464A06" w:rsidRDefault="00464A06" w:rsidP="00464A06">
      <w:pPr>
        <w:spacing w:before="120"/>
        <w:jc w:val="both"/>
        <w:rPr>
          <w:rFonts w:ascii="Titillium" w:eastAsia="Titillium" w:hAnsi="Titillium" w:cs="Titillium"/>
          <w:u w:val="single"/>
        </w:rPr>
      </w:pPr>
      <w:r w:rsidRPr="636C4F36">
        <w:rPr>
          <w:rFonts w:ascii="Titillium" w:eastAsia="Titillium" w:hAnsi="Titillium" w:cs="Titillium"/>
          <w:u w:val="single"/>
        </w:rPr>
        <w:t>Quantitative assessment:</w:t>
      </w:r>
    </w:p>
    <w:p w14:paraId="0FB964D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t xml:space="preserve">Green light – Very Good (Score 3) - The KPIs and metrics are overperformed and </w:t>
      </w:r>
      <w:r w:rsidRPr="636C4F36">
        <w:rPr>
          <w:rFonts w:ascii="Titillium" w:eastAsia="Titillium" w:hAnsi="Titillium" w:cs="Titillium"/>
          <w:b/>
          <w:bCs/>
          <w:color w:val="auto"/>
          <w:u w:val="single"/>
        </w:rPr>
        <w:t>above</w:t>
      </w:r>
      <w:r w:rsidRPr="636C4F36">
        <w:rPr>
          <w:rFonts w:ascii="Titillium" w:eastAsia="Titillium" w:hAnsi="Titillium" w:cs="Titillium"/>
          <w:color w:val="auto"/>
        </w:rPr>
        <w:t xml:space="preserve"> the minimum targets.</w:t>
      </w:r>
    </w:p>
    <w:p w14:paraId="565D9DCF"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t xml:space="preserve">Yellow light – Fair (Score 2)- The KPIs and metrics are </w:t>
      </w:r>
      <w:r w:rsidRPr="636C4F36">
        <w:rPr>
          <w:rFonts w:ascii="Titillium" w:eastAsia="Titillium" w:hAnsi="Titillium" w:cs="Titillium"/>
          <w:b/>
          <w:bCs/>
          <w:color w:val="auto"/>
          <w:u w:val="single"/>
        </w:rPr>
        <w:t>equal to</w:t>
      </w:r>
      <w:r w:rsidRPr="636C4F36">
        <w:rPr>
          <w:rFonts w:ascii="Titillium" w:eastAsia="Titillium" w:hAnsi="Titillium" w:cs="Titillium"/>
          <w:color w:val="auto"/>
        </w:rPr>
        <w:t xml:space="preserve"> the minimum targets.</w:t>
      </w:r>
    </w:p>
    <w:p w14:paraId="607C000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t xml:space="preserve">Red light – Weak (Score 1)– The KPIs and metrics are </w:t>
      </w:r>
      <w:r w:rsidRPr="636C4F36">
        <w:rPr>
          <w:rFonts w:ascii="Titillium" w:eastAsia="Titillium" w:hAnsi="Titillium" w:cs="Titillium"/>
          <w:b/>
          <w:bCs/>
          <w:color w:val="auto"/>
          <w:u w:val="single"/>
        </w:rPr>
        <w:t>below</w:t>
      </w:r>
      <w:r w:rsidRPr="636C4F36">
        <w:rPr>
          <w:rFonts w:ascii="Titillium" w:eastAsia="Titillium" w:hAnsi="Titillium" w:cs="Titillium"/>
          <w:color w:val="auto"/>
        </w:rPr>
        <w:t xml:space="preserve"> the minimum targets, and the deviation is not justified a</w:t>
      </w:r>
      <w:r w:rsidRPr="636C4F36">
        <w:rPr>
          <w:rFonts w:ascii="Titillium" w:eastAsia="Titillium" w:hAnsi="Titillium" w:cs="Titillium"/>
        </w:rPr>
        <w:t>nd there was no mitigation plan provided.</w:t>
      </w:r>
    </w:p>
    <w:p w14:paraId="10196FE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The quantitative assessment with the traffic light evaluation is done for each KPIs and metrics. And the average traffic light scores will provide a quantitative traffic light assessment.</w:t>
      </w:r>
    </w:p>
    <w:p w14:paraId="3AE77BBD" w14:textId="77777777" w:rsidR="00464A06" w:rsidRDefault="00464A06" w:rsidP="00464A06">
      <w:pPr>
        <w:spacing w:before="120"/>
        <w:jc w:val="both"/>
        <w:rPr>
          <w:rFonts w:ascii="Titillium" w:eastAsia="Titillium" w:hAnsi="Titillium" w:cs="Titillium"/>
          <w:u w:val="single"/>
        </w:rPr>
      </w:pPr>
      <w:r w:rsidRPr="636C4F36">
        <w:rPr>
          <w:rFonts w:ascii="Titillium" w:eastAsia="Titillium" w:hAnsi="Titillium" w:cs="Titillium"/>
          <w:u w:val="single"/>
        </w:rPr>
        <w:t>Qualitative assessment:</w:t>
      </w:r>
    </w:p>
    <w:p w14:paraId="5D82D4AE"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For each KPI and for the Administration/Coordination/Communication activities, a qualitative assessment is performed as well. </w:t>
      </w:r>
    </w:p>
    <w:p w14:paraId="7F25FAF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Green light – Very Good (Score 3) - The implementation of the activities to reach KPIs and metrics in a very good quality, convincingly and successfully. Optional activities were also carried out. The deliverables and reports provided all the information and evidence needed, and there are no concerns or areas of weakness. </w:t>
      </w:r>
    </w:p>
    <w:p w14:paraId="6F18C05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Yellow light – Fair (Score 2) – The activities were carried out in line with the objectives per target, although some small improvements could be still made. No optional activity was carried out. The </w:t>
      </w:r>
      <w:r w:rsidRPr="636C4F36">
        <w:rPr>
          <w:rFonts w:ascii="Titillium" w:eastAsia="Titillium" w:hAnsi="Titillium" w:cs="Titillium"/>
          <w:sz w:val="22"/>
        </w:rPr>
        <w:t xml:space="preserve">report gives clear information on all or nearly all of the activities carried out. </w:t>
      </w:r>
    </w:p>
    <w:p w14:paraId="239702CD"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sz w:val="22"/>
        </w:rPr>
        <w:t>Red light – Weak (Score 1) – The activities failed to reach the objectives of the KPIs or cannot be judged due to missing or incomplete information. No optional activity was carried out. The content of the report does not address the questions asked or gives very little relevant information.</w:t>
      </w:r>
    </w:p>
    <w:p w14:paraId="7353336F"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A red light in the annual performance review in either the quantitative or qualitative assessments will need to be corrected during the following year. Two consecutive red light annual assessments will be evaluated by the Steering Committee of the KIC Cluster and might lead to cancellation of the contract.</w:t>
      </w:r>
    </w:p>
    <w:p w14:paraId="59E915AB"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Approved annual EIT Community Officer reports are to be added as annexes to the EIT Community Hub Annual report by the Lead KIC to provide an up-to-date description of the existing distribution and role of Community Hubs to the EIT. </w:t>
      </w:r>
    </w:p>
    <w:p w14:paraId="5DF13422" w14:textId="77777777" w:rsidR="00464A06" w:rsidRDefault="00464A06" w:rsidP="00464A06">
      <w:pPr>
        <w:spacing w:before="120"/>
        <w:jc w:val="both"/>
        <w:rPr>
          <w:rFonts w:ascii="Titillium" w:eastAsia="Titillium" w:hAnsi="Titillium" w:cs="Titillium"/>
        </w:rPr>
      </w:pPr>
    </w:p>
    <w:p w14:paraId="7A3861A0" w14:textId="77777777" w:rsidR="00464A06" w:rsidRDefault="00464A06" w:rsidP="00464A06">
      <w:pPr>
        <w:spacing w:before="120"/>
        <w:jc w:val="both"/>
        <w:rPr>
          <w:rFonts w:ascii="Titillium" w:eastAsia="Titillium" w:hAnsi="Titillium" w:cs="Titillium"/>
        </w:rPr>
      </w:pPr>
    </w:p>
    <w:p w14:paraId="68C1EC0E" w14:textId="77777777" w:rsidR="00464A06" w:rsidRDefault="00464A06" w:rsidP="00464A06">
      <w:pPr>
        <w:spacing w:before="120"/>
        <w:jc w:val="both"/>
        <w:rPr>
          <w:rFonts w:ascii="Titillium" w:eastAsia="Titillium" w:hAnsi="Titillium" w:cs="Titillium"/>
        </w:rPr>
      </w:pPr>
    </w:p>
    <w:p w14:paraId="0969F597" w14:textId="77777777" w:rsidR="00464A06" w:rsidRPr="00D90AD3" w:rsidRDefault="00464A06" w:rsidP="00464A06">
      <w:pPr>
        <w:jc w:val="both"/>
        <w:rPr>
          <w:rFonts w:asciiTheme="minorHAnsi" w:hAnsiTheme="minorHAnsi"/>
          <w:b/>
          <w:bCs/>
          <w:sz w:val="24"/>
          <w:szCs w:val="24"/>
        </w:rPr>
      </w:pPr>
      <w:bookmarkStart w:id="25" w:name="_Toc925962201"/>
      <w:bookmarkStart w:id="26" w:name="_Toc205312707"/>
      <w:r w:rsidRPr="7295751F">
        <w:rPr>
          <w:rFonts w:asciiTheme="minorHAnsi" w:hAnsiTheme="minorHAnsi"/>
          <w:b/>
          <w:bCs/>
          <w:sz w:val="24"/>
          <w:szCs w:val="24"/>
        </w:rPr>
        <w:lastRenderedPageBreak/>
        <w:t>Appendix 1. Glossary</w:t>
      </w:r>
      <w:bookmarkEnd w:id="25"/>
      <w:bookmarkEnd w:id="26"/>
    </w:p>
    <w:p w14:paraId="40FF514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Local EIT Community Stakeholder</w:t>
      </w:r>
      <w:r w:rsidRPr="636C4F36">
        <w:rPr>
          <w:rFonts w:ascii="Titillium" w:eastAsia="Titillium" w:hAnsi="Titillium" w:cs="Titillium"/>
        </w:rPr>
        <w:t>– All stakeholders having a connection to EIT (partners, supported organisations, student Alumni, local authorities, etc.) in the country.</w:t>
      </w:r>
    </w:p>
    <w:p w14:paraId="1DDE368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EIT Community Hub Member </w:t>
      </w:r>
      <w:r w:rsidRPr="636C4F36">
        <w:rPr>
          <w:rFonts w:ascii="Titillium" w:eastAsia="Titillium" w:hAnsi="Titillium" w:cs="Titillium"/>
        </w:rPr>
        <w:t>– Signatory entities of the governance MoU among KIC CLCs, EIT KIC local representatives and EIT national contact point (NCP).</w:t>
      </w:r>
    </w:p>
    <w:p w14:paraId="70DEF78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EIT KIC partner</w:t>
      </w:r>
      <w:r w:rsidRPr="636C4F36">
        <w:rPr>
          <w:rFonts w:ascii="Titillium" w:eastAsia="Titillium" w:hAnsi="Titillium" w:cs="Titillium"/>
        </w:rPr>
        <w:t xml:space="preserve"> – Official partner of an EIT KIC</w:t>
      </w:r>
    </w:p>
    <w:p w14:paraId="34CA635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Lead </w:t>
      </w:r>
      <w:r w:rsidRPr="636C4F36">
        <w:rPr>
          <w:rFonts w:ascii="Titillium" w:eastAsia="Titillium" w:hAnsi="Titillium" w:cs="Titillium"/>
        </w:rPr>
        <w:t xml:space="preserve">– An individual or organization that has shown interest in a programme, product or service who can be considered a potential customer (paying member, service purchaser for KICs or Global Outreach, investors or funding agency for startups/scaleups). The lead is not yet a confirmed customer, but a promising prospect due to their initial engagement with a meeting between relevant representatives  (warm introduction) or by filling out dedicated form expressing interest.  </w:t>
      </w:r>
    </w:p>
    <w:p w14:paraId="5350BE51"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Key Performance Indicators (KPIs) </w:t>
      </w:r>
      <w:r w:rsidRPr="636C4F36">
        <w:rPr>
          <w:rFonts w:ascii="Titillium" w:eastAsia="Titillium" w:hAnsi="Titillium" w:cs="Titillium"/>
        </w:rPr>
        <w:t>– The measurable indicators tied to strategic objectives of the EIT Community Officer</w:t>
      </w:r>
    </w:p>
    <w:p w14:paraId="5BA2037D"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Metrics</w:t>
      </w:r>
      <w:r w:rsidRPr="636C4F36">
        <w:rPr>
          <w:rFonts w:ascii="Titillium" w:eastAsia="Titillium" w:hAnsi="Titillium" w:cs="Titillium"/>
        </w:rPr>
        <w:t xml:space="preserve"> – Measurable value that indicates the performance of the activities leading to reaching KPIs or executing mandatory activities.</w:t>
      </w:r>
    </w:p>
    <w:p w14:paraId="716CB8F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Deliverable</w:t>
      </w:r>
      <w:r w:rsidRPr="636C4F36">
        <w:rPr>
          <w:rFonts w:ascii="Titillium" w:eastAsia="Titillium" w:hAnsi="Titillium" w:cs="Titillium"/>
        </w:rPr>
        <w:t xml:space="preserve"> – Concrete evidence produced to prove that an activity has been carried out as required (document, log, lists, etc.).</w:t>
      </w:r>
    </w:p>
    <w:p w14:paraId="73018EEF" w14:textId="77777777" w:rsidR="00464A06" w:rsidRDefault="00464A06" w:rsidP="00464A06">
      <w:pPr>
        <w:spacing w:before="120"/>
        <w:jc w:val="both"/>
        <w:rPr>
          <w:rFonts w:ascii="Titillium" w:eastAsia="Titillium" w:hAnsi="Titillium" w:cs="Titillium"/>
        </w:rPr>
      </w:pPr>
    </w:p>
    <w:p w14:paraId="1DD55C8A" w14:textId="77777777" w:rsidR="00464A06" w:rsidRPr="00D90AD3" w:rsidRDefault="00464A06" w:rsidP="00464A06">
      <w:pPr>
        <w:jc w:val="both"/>
        <w:rPr>
          <w:rFonts w:asciiTheme="minorHAnsi" w:hAnsiTheme="minorHAnsi"/>
          <w:b/>
          <w:bCs/>
          <w:sz w:val="24"/>
          <w:szCs w:val="24"/>
        </w:rPr>
      </w:pPr>
      <w:r w:rsidRPr="7295751F">
        <w:rPr>
          <w:rFonts w:asciiTheme="minorHAnsi" w:hAnsiTheme="minorHAnsi"/>
          <w:b/>
          <w:bCs/>
          <w:sz w:val="24"/>
          <w:szCs w:val="24"/>
        </w:rPr>
        <w:t>Appendix 2. EIT Core KPIs</w:t>
      </w:r>
    </w:p>
    <w:p w14:paraId="1D4BDB66" w14:textId="77777777" w:rsidR="00464A06" w:rsidRDefault="00464A06" w:rsidP="00464A06">
      <w:pPr>
        <w:jc w:val="both"/>
        <w:rPr>
          <w:rFonts w:ascii="Titillium" w:eastAsia="Titillium" w:hAnsi="Titillium" w:cs="Titillium"/>
        </w:rPr>
      </w:pPr>
      <w:r w:rsidRPr="1F95E526">
        <w:rPr>
          <w:rFonts w:ascii="Titillium" w:eastAsia="Titillium" w:hAnsi="Titillium" w:cs="Titillium"/>
        </w:rPr>
        <w:t xml:space="preserve">The  </w:t>
      </w:r>
      <w:hyperlink r:id="rId14" w:history="1">
        <w:r w:rsidRPr="1F95E526">
          <w:rPr>
            <w:rStyle w:val="Enlla"/>
            <w:rFonts w:ascii="Titillium" w:eastAsia="Titillium" w:hAnsi="Titillium" w:cs="Titillium"/>
          </w:rPr>
          <w:t>EIT Simplified Impact Framework | EIT</w:t>
        </w:r>
      </w:hyperlink>
      <w:r w:rsidRPr="1F95E526">
        <w:rPr>
          <w:rFonts w:ascii="Titillium" w:eastAsia="Titillium" w:hAnsi="Titillium" w:cs="Titillium"/>
        </w:rPr>
        <w:t xml:space="preserve"> lists the EIT Key Performance Indicators. There are 37 EIT KPIs relevant to all KICs and 61 specific societal impact KPIs to be achieved by all 9 KICs in their thematic areas. EIT Community Officers are expected to raise non-EIT funds for local activities in the country directly or indirectly contributing to the EIT core KPIs listed</w:t>
      </w:r>
      <w:r w:rsidRPr="1F95E526">
        <w:rPr>
          <w:rStyle w:val="Refernciadenotaapeudepgina"/>
          <w:rFonts w:ascii="Titillium" w:eastAsia="Titillium" w:hAnsi="Titillium" w:cs="Titillium"/>
        </w:rPr>
        <w:footnoteReference w:id="5"/>
      </w:r>
      <w:r w:rsidRPr="1F95E526">
        <w:rPr>
          <w:rFonts w:ascii="Titillium" w:eastAsia="Titillium" w:hAnsi="Titillium" w:cs="Titillium"/>
        </w:rPr>
        <w:t xml:space="preserve"> below and not overlapping with activities in WP1 and WP2: </w:t>
      </w:r>
    </w:p>
    <w:p w14:paraId="022C938D"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[EITHE02] Innovations launched on the market with sales revenue of at least 10 000 EUR documented.</w:t>
      </w:r>
    </w:p>
    <w:p w14:paraId="0325443F"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[EITHE04] Start-ups created for the purpose of an innovation project to organise and support the development of an asset having financial transactions of at least 10 000 EUR.</w:t>
      </w:r>
    </w:p>
    <w:p w14:paraId="47B7C4F5"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[EITHE05] Start-ups created by students enrolled and graduates from EIT-labelled programmes </w:t>
      </w:r>
    </w:p>
    <w:p w14:paraId="700BD1F3"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[EITHE06] Investment attracted by KIC-supported start-ups and scale-ups</w:t>
      </w:r>
    </w:p>
    <w:p w14:paraId="10823F81"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[EITHE07] Graduates from EIT-labelled programmes </w:t>
      </w:r>
    </w:p>
    <w:p w14:paraId="6FCB04D0"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lastRenderedPageBreak/>
        <w:t xml:space="preserve">[EITHE11] Financial Sustainability (FS) </w:t>
      </w:r>
    </w:p>
    <w:p w14:paraId="5A848E4E" w14:textId="77777777" w:rsidR="00464A06" w:rsidRPr="00D90AD3"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[EITHE22] Number of new and established KIC Partners from RIS countries </w:t>
      </w:r>
    </w:p>
    <w:p w14:paraId="2A543229" w14:textId="77777777" w:rsidR="00464A06" w:rsidRDefault="00464A06" w:rsidP="00464A06">
      <w:pPr>
        <w:spacing w:after="160" w:line="276" w:lineRule="auto"/>
        <w:rPr>
          <w:rFonts w:ascii="Titillium" w:eastAsia="Titillium" w:hAnsi="Titillium" w:cs="Titillium"/>
          <w:color w:val="034EA2" w:themeColor="text2"/>
          <w:sz w:val="60"/>
          <w:szCs w:val="60"/>
        </w:rPr>
      </w:pPr>
    </w:p>
    <w:p w14:paraId="2EC3EC93" w14:textId="77777777" w:rsidR="00B11F42" w:rsidRPr="00334125" w:rsidRDefault="00B11F42" w:rsidP="356D6918">
      <w:pPr>
        <w:spacing w:after="160" w:line="259" w:lineRule="auto"/>
        <w:rPr>
          <w:rFonts w:ascii="Calibri Light" w:eastAsia="Calibri" w:hAnsi="Calibri Light" w:cs="Calibri Light"/>
          <w:szCs w:val="20"/>
        </w:rPr>
      </w:pPr>
    </w:p>
    <w:sectPr w:rsidR="00B11F42" w:rsidRPr="00334125" w:rsidSect="003A795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693" w:right="1418" w:bottom="1701" w:left="1985"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5EDD" w14:textId="77777777" w:rsidR="007B4A15" w:rsidRDefault="007B4A15" w:rsidP="00B04388">
      <w:pPr>
        <w:spacing w:after="0" w:line="240" w:lineRule="auto"/>
      </w:pPr>
      <w:r>
        <w:separator/>
      </w:r>
    </w:p>
  </w:endnote>
  <w:endnote w:type="continuationSeparator" w:id="0">
    <w:p w14:paraId="3D43A053" w14:textId="77777777" w:rsidR="007B4A15" w:rsidRDefault="007B4A15" w:rsidP="00B04388">
      <w:pPr>
        <w:spacing w:after="0" w:line="240" w:lineRule="auto"/>
      </w:pPr>
      <w:r>
        <w:continuationSeparator/>
      </w:r>
    </w:p>
  </w:endnote>
  <w:endnote w:type="continuationNotice" w:id="1">
    <w:p w14:paraId="18AB06E4" w14:textId="77777777" w:rsidR="007B4A15" w:rsidRDefault="007B4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B9FE" w14:textId="77777777" w:rsidR="005117B6" w:rsidRDefault="005117B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1" w14:textId="3C6B596B" w:rsidR="00B93A86" w:rsidRPr="005117B6" w:rsidRDefault="005117B6" w:rsidP="005117B6">
    <w:pPr>
      <w:pStyle w:val="Peu"/>
    </w:pPr>
    <w:r w:rsidRPr="006B6EF7">
      <w:rPr>
        <w:noProof/>
      </w:rPr>
      <w:drawing>
        <wp:anchor distT="0" distB="0" distL="114300" distR="114300" simplePos="0" relativeHeight="251662346" behindDoc="1" locked="0" layoutInCell="1" allowOverlap="1" wp14:anchorId="7D5226EC" wp14:editId="79900FD8">
          <wp:simplePos x="0" y="0"/>
          <wp:positionH relativeFrom="page">
            <wp:align>left</wp:align>
          </wp:positionH>
          <wp:positionV relativeFrom="page">
            <wp:posOffset>10210801</wp:posOffset>
          </wp:positionV>
          <wp:extent cx="7237270" cy="481648"/>
          <wp:effectExtent l="0" t="0" r="1905" b="0"/>
          <wp:wrapNone/>
          <wp:docPr id="1155509878" name="Graphique 1155509878" descr="preencoded.png">
            <a:extLst xmlns:a="http://schemas.openxmlformats.org/drawingml/2006/main">
              <a:ext uri="{FF2B5EF4-FFF2-40B4-BE49-F238E27FC236}">
                <a16:creationId xmlns:a16="http://schemas.microsoft.com/office/drawing/2014/main" id="{0C3EF3E1-AC6F-04EF-FD15-8E66974DE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7" descr="preencoded.png">
                    <a:extLst>
                      <a:ext uri="{FF2B5EF4-FFF2-40B4-BE49-F238E27FC236}">
                        <a16:creationId xmlns:a16="http://schemas.microsoft.com/office/drawing/2014/main" id="{0C3EF3E1-AC6F-04EF-FD15-8E66974DE970}"/>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7237270" cy="48164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3" w14:textId="2CA9B3D6" w:rsidR="00BA0DCF" w:rsidRPr="006D3F3B" w:rsidRDefault="00334125" w:rsidP="00BA0DCF">
    <w:pPr>
      <w:pStyle w:val="Peu"/>
      <w:jc w:val="center"/>
      <w:rPr>
        <w:color w:val="FFFFFF" w:themeColor="background1"/>
        <w:sz w:val="20"/>
        <w:szCs w:val="20"/>
      </w:rPr>
    </w:pPr>
    <w:r>
      <w:rPr>
        <w:noProof/>
      </w:rPr>
      <mc:AlternateContent>
        <mc:Choice Requires="wps">
          <w:drawing>
            <wp:anchor distT="0" distB="0" distL="114300" distR="114300" simplePos="0" relativeHeight="251658249" behindDoc="1" locked="0" layoutInCell="1" allowOverlap="1" wp14:anchorId="7C42DC07" wp14:editId="7E7D6C1E">
              <wp:simplePos x="0" y="0"/>
              <wp:positionH relativeFrom="column">
                <wp:posOffset>2580005</wp:posOffset>
              </wp:positionH>
              <wp:positionV relativeFrom="paragraph">
                <wp:posOffset>-37465</wp:posOffset>
              </wp:positionV>
              <wp:extent cx="251460" cy="25209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209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5D5C5" id="Oval 1" o:spid="_x0000_s1026" style="position:absolute;margin-left:203.15pt;margin-top:-2.95pt;width:19.8pt;height:19.8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" fillcolor="#034ea2 [3215]" stroked="f" strokeweight="1pt">
              <v:stroke joinstyle="miter"/>
            </v:oval>
          </w:pict>
        </mc:Fallback>
      </mc:AlternateContent>
    </w:r>
    <w:r w:rsidR="00BA0DCF" w:rsidRPr="006D3F3B">
      <w:rPr>
        <w:color w:val="FFFFFF" w:themeColor="background1"/>
        <w:sz w:val="20"/>
        <w:szCs w:val="20"/>
      </w:rPr>
      <w:fldChar w:fldCharType="begin"/>
    </w:r>
    <w:r w:rsidR="00BA0DCF" w:rsidRPr="006D3F3B">
      <w:rPr>
        <w:color w:val="FFFFFF" w:themeColor="background1"/>
        <w:sz w:val="20"/>
        <w:szCs w:val="20"/>
      </w:rPr>
      <w:instrText>PAGE   \* MERGEFORMAT</w:instrText>
    </w:r>
    <w:r w:rsidR="00BA0DCF" w:rsidRPr="006D3F3B">
      <w:rPr>
        <w:color w:val="FFFFFF" w:themeColor="background1"/>
        <w:sz w:val="20"/>
        <w:szCs w:val="20"/>
      </w:rPr>
      <w:fldChar w:fldCharType="separate"/>
    </w:r>
    <w:r w:rsidR="002B3EBE">
      <w:rPr>
        <w:noProof/>
        <w:color w:val="FFFFFF" w:themeColor="background1"/>
        <w:sz w:val="20"/>
        <w:szCs w:val="20"/>
      </w:rPr>
      <w:t>1</w:t>
    </w:r>
    <w:r w:rsidR="00BA0DCF" w:rsidRPr="006D3F3B">
      <w:rPr>
        <w:color w:val="FFFFFF" w:themeColor="background1"/>
        <w:sz w:val="20"/>
        <w:szCs w:val="20"/>
      </w:rPr>
      <w:fldChar w:fldCharType="end"/>
    </w:r>
  </w:p>
  <w:p w14:paraId="7668E2D4" w14:textId="30183FA4" w:rsidR="00BA0DCF" w:rsidRDefault="00BA0DC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9289" w14:textId="77777777" w:rsidR="007B4A15" w:rsidRDefault="007B4A15" w:rsidP="00B04388">
      <w:pPr>
        <w:spacing w:after="0" w:line="240" w:lineRule="auto"/>
      </w:pPr>
      <w:r>
        <w:separator/>
      </w:r>
    </w:p>
  </w:footnote>
  <w:footnote w:type="continuationSeparator" w:id="0">
    <w:p w14:paraId="5F4A9A23" w14:textId="77777777" w:rsidR="007B4A15" w:rsidRDefault="007B4A15" w:rsidP="00B04388">
      <w:pPr>
        <w:spacing w:after="0" w:line="240" w:lineRule="auto"/>
      </w:pPr>
      <w:r>
        <w:continuationSeparator/>
      </w:r>
    </w:p>
  </w:footnote>
  <w:footnote w:type="continuationNotice" w:id="1">
    <w:p w14:paraId="6D38E7DB" w14:textId="77777777" w:rsidR="007B4A15" w:rsidRDefault="007B4A15">
      <w:pPr>
        <w:spacing w:after="0" w:line="240" w:lineRule="auto"/>
      </w:pPr>
    </w:p>
  </w:footnote>
  <w:footnote w:id="2">
    <w:p w14:paraId="7B1510FA" w14:textId="77777777" w:rsidR="00464A06" w:rsidRDefault="00464A06" w:rsidP="00464A06">
      <w:pPr>
        <w:pStyle w:val="Textdenotaapeudepgina"/>
      </w:pPr>
      <w:r w:rsidRPr="1F95E526">
        <w:rPr>
          <w:rStyle w:val="Refernciadenotaapeudepgina"/>
        </w:rPr>
        <w:footnoteRef/>
      </w:r>
      <w:r>
        <w:t xml:space="preserve"> Potentially involving other neighbouring countries associated to Horizon Europe</w:t>
      </w:r>
    </w:p>
  </w:footnote>
  <w:footnote w:id="3">
    <w:p w14:paraId="72394EF6" w14:textId="77777777" w:rsidR="00464A06" w:rsidRDefault="00464A06" w:rsidP="00464A06">
      <w:pPr>
        <w:pStyle w:val="Textdenotaapeudepgina"/>
      </w:pPr>
      <w:r w:rsidRPr="7B67AEF2">
        <w:rPr>
          <w:rStyle w:val="Refernciadenotaapeudepgina"/>
        </w:rPr>
        <w:footnoteRef/>
      </w:r>
      <w:r>
        <w:t xml:space="preserve"> The list is indicative and will be updated in case of change.</w:t>
      </w:r>
    </w:p>
  </w:footnote>
  <w:footnote w:id="4">
    <w:p w14:paraId="1B973538" w14:textId="77777777" w:rsidR="00464A06" w:rsidRDefault="00464A06" w:rsidP="00464A06">
      <w:pPr>
        <w:pStyle w:val="Textdenotaapeudepgina"/>
      </w:pPr>
      <w:r w:rsidRPr="1F95E526">
        <w:rPr>
          <w:rStyle w:val="Refernciadenotaapeudepgina"/>
        </w:rPr>
        <w:footnoteRef/>
      </w:r>
      <w:r>
        <w:t xml:space="preserve"> only applies to the RIB pilot countries</w:t>
      </w:r>
    </w:p>
  </w:footnote>
  <w:footnote w:id="5">
    <w:p w14:paraId="12E176F2" w14:textId="77777777" w:rsidR="00464A06" w:rsidRDefault="00464A06" w:rsidP="00464A06">
      <w:pPr>
        <w:pStyle w:val="Textdenotaapeudepgina"/>
        <w:rPr>
          <w:rStyle w:val="Refernciadenotaapeudepgina"/>
        </w:rPr>
      </w:pPr>
      <w:r w:rsidRPr="53858986">
        <w:rPr>
          <w:rStyle w:val="Refernciadenotaapeudepgina"/>
        </w:rPr>
        <w:t>The list is for reference only, and the EIT Impact Framework in effect shall supersede in the event of any inconsistency.</w:t>
      </w:r>
    </w:p>
    <w:p w14:paraId="6E9CCDF8" w14:textId="77777777" w:rsidR="00464A06" w:rsidRDefault="00464A06" w:rsidP="00464A06">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CCBA" w14:textId="77777777" w:rsidR="005117B6" w:rsidRDefault="005117B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CF" w14:textId="1C7E1F21" w:rsidR="00B93A86" w:rsidRDefault="005117B6" w:rsidP="00023150">
    <w:pPr>
      <w:pStyle w:val="Capalera"/>
      <w:tabs>
        <w:tab w:val="clear" w:pos="4536"/>
        <w:tab w:val="clear" w:pos="9072"/>
        <w:tab w:val="left" w:pos="2810"/>
      </w:tabs>
    </w:pPr>
    <w:r>
      <w:rPr>
        <w:noProof/>
      </w:rPr>
      <w:drawing>
        <wp:anchor distT="0" distB="0" distL="114300" distR="114300" simplePos="0" relativeHeight="251660298" behindDoc="1" locked="0" layoutInCell="1" allowOverlap="1" wp14:anchorId="2D7CF8CD" wp14:editId="7F2B0920">
          <wp:simplePos x="0" y="0"/>
          <wp:positionH relativeFrom="margin">
            <wp:posOffset>-342900</wp:posOffset>
          </wp:positionH>
          <wp:positionV relativeFrom="page">
            <wp:posOffset>447685</wp:posOffset>
          </wp:positionV>
          <wp:extent cx="3885631" cy="590550"/>
          <wp:effectExtent l="0" t="0" r="635" b="0"/>
          <wp:wrapNone/>
          <wp:docPr id="1270539446" name="Image 127053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47339" name="Image 1921747339"/>
                  <pic:cNvPicPr/>
                </pic:nvPicPr>
                <pic:blipFill>
                  <a:blip r:embed="rId1">
                    <a:extLst>
                      <a:ext uri="{28A0092B-C50C-407E-A947-70E740481C1C}">
                        <a14:useLocalDpi xmlns:a14="http://schemas.microsoft.com/office/drawing/2010/main" val="0"/>
                      </a:ext>
                    </a:extLst>
                  </a:blip>
                  <a:stretch>
                    <a:fillRect/>
                  </a:stretch>
                </pic:blipFill>
                <pic:spPr>
                  <a:xfrm>
                    <a:off x="0" y="0"/>
                    <a:ext cx="3885631" cy="590550"/>
                  </a:xfrm>
                  <a:prstGeom prst="rect">
                    <a:avLst/>
                  </a:prstGeom>
                </pic:spPr>
              </pic:pic>
            </a:graphicData>
          </a:graphic>
          <wp14:sizeRelH relativeFrom="margin">
            <wp14:pctWidth>0</wp14:pctWidth>
          </wp14:sizeRelH>
          <wp14:sizeRelV relativeFrom="margin">
            <wp14:pctHeight>0</wp14:pctHeight>
          </wp14:sizeRelV>
        </wp:anchor>
      </w:drawing>
    </w:r>
    <w:r w:rsidR="000231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2" w14:textId="401398E3" w:rsidR="00BA0DCF" w:rsidRDefault="00334125" w:rsidP="00756F65">
    <w:pPr>
      <w:pStyle w:val="Capalera"/>
    </w:pPr>
    <w:r>
      <w:rPr>
        <w:noProof/>
      </w:rPr>
      <mc:AlternateContent>
        <mc:Choice Requires="wps">
          <w:drawing>
            <wp:anchor distT="0" distB="0" distL="114300" distR="114300" simplePos="0" relativeHeight="251658250" behindDoc="0" locked="0" layoutInCell="1" allowOverlap="1" wp14:anchorId="0EB76860" wp14:editId="45148A8A">
              <wp:simplePos x="0" y="0"/>
              <wp:positionH relativeFrom="column">
                <wp:posOffset>4260850</wp:posOffset>
              </wp:positionH>
              <wp:positionV relativeFrom="paragraph">
                <wp:posOffset>278765</wp:posOffset>
              </wp:positionV>
              <wp:extent cx="2063750" cy="279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0" cy="2794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947D8" w14:textId="14BF87CE" w:rsidR="00A94850" w:rsidRPr="00A94850" w:rsidRDefault="00A94850" w:rsidP="00A94850">
                          <w:pPr>
                            <w:ind w:left="284"/>
                            <w:rPr>
                              <w:sz w:val="24"/>
                              <w:szCs w:val="28"/>
                              <w:lang w:val="en-GB"/>
                            </w:rPr>
                          </w:pPr>
                          <w:r w:rsidRPr="00A94850">
                            <w:rPr>
                              <w:sz w:val="24"/>
                              <w:szCs w:val="28"/>
                              <w:lang w:val="en-GB"/>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6860" id="Rectangle 2" o:spid="_x0000_s1026" style="position:absolute;margin-left:335.5pt;margin-top:21.95pt;width:162.5pt;height:2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" fillcolor="#c00000" stroked="f" strokeweight="1pt">
              <v:textbox>
                <w:txbxContent>
                  <w:p w14:paraId="7DC947D8" w14:textId="14BF87CE" w:rsidR="00A94850" w:rsidRPr="00A94850" w:rsidRDefault="00A94850" w:rsidP="00A94850">
                    <w:pPr>
                      <w:ind w:left="284"/>
                      <w:rPr>
                        <w:sz w:val="24"/>
                        <w:szCs w:val="28"/>
                        <w:lang w:val="en-GB"/>
                      </w:rPr>
                    </w:pPr>
                    <w:r w:rsidRPr="00A94850">
                      <w:rPr>
                        <w:sz w:val="24"/>
                        <w:szCs w:val="28"/>
                        <w:lang w:val="en-GB"/>
                      </w:rPr>
                      <w:t>DRAFT</w:t>
                    </w:r>
                  </w:p>
                </w:txbxContent>
              </v:textbox>
            </v:rect>
          </w:pict>
        </mc:Fallback>
      </mc:AlternateContent>
    </w:r>
    <w:r w:rsidR="004D066D">
      <w:rPr>
        <w:noProof/>
      </w:rPr>
      <w:drawing>
        <wp:anchor distT="0" distB="0" distL="114300" distR="114300" simplePos="0" relativeHeight="251658241" behindDoc="1" locked="0" layoutInCell="1" allowOverlap="1" wp14:anchorId="4287337C" wp14:editId="2C506593">
          <wp:simplePos x="0" y="0"/>
          <wp:positionH relativeFrom="column">
            <wp:posOffset>-949325</wp:posOffset>
          </wp:positionH>
          <wp:positionV relativeFrom="paragraph">
            <wp:posOffset>-88265</wp:posOffset>
          </wp:positionV>
          <wp:extent cx="5054600" cy="958846"/>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54600" cy="9588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EED02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CC78FF4"/>
    <w:multiLevelType w:val="multilevel"/>
    <w:tmpl w:val="67F48B2C"/>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96F643"/>
    <w:multiLevelType w:val="multilevel"/>
    <w:tmpl w:val="BD5E6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13E02"/>
    <w:multiLevelType w:val="multilevel"/>
    <w:tmpl w:val="C890C3A2"/>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8F6AF"/>
    <w:multiLevelType w:val="multilevel"/>
    <w:tmpl w:val="3A845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8A312D"/>
    <w:multiLevelType w:val="hybridMultilevel"/>
    <w:tmpl w:val="BF02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B973F"/>
    <w:multiLevelType w:val="multilevel"/>
    <w:tmpl w:val="D4E60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7D42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994C95"/>
    <w:multiLevelType w:val="multilevel"/>
    <w:tmpl w:val="C3148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CB3628"/>
    <w:multiLevelType w:val="hybridMultilevel"/>
    <w:tmpl w:val="D1DA431E"/>
    <w:lvl w:ilvl="0" w:tplc="437A1CEA">
      <w:start w:val="1"/>
      <w:numFmt w:val="bullet"/>
      <w:lvlText w:val=""/>
      <w:lvlJc w:val="left"/>
      <w:pPr>
        <w:ind w:left="720" w:hanging="360"/>
      </w:pPr>
      <w:rPr>
        <w:rFonts w:ascii="Symbol" w:hAnsi="Symbol" w:hint="default"/>
      </w:rPr>
    </w:lvl>
    <w:lvl w:ilvl="1" w:tplc="835CD30E">
      <w:start w:val="1"/>
      <w:numFmt w:val="bullet"/>
      <w:lvlText w:val="o"/>
      <w:lvlJc w:val="left"/>
      <w:pPr>
        <w:ind w:left="1440" w:hanging="360"/>
      </w:pPr>
      <w:rPr>
        <w:rFonts w:ascii="Courier New" w:hAnsi="Courier New" w:hint="default"/>
      </w:rPr>
    </w:lvl>
    <w:lvl w:ilvl="2" w:tplc="63F40AFC">
      <w:start w:val="1"/>
      <w:numFmt w:val="bullet"/>
      <w:lvlText w:val=""/>
      <w:lvlJc w:val="left"/>
      <w:pPr>
        <w:ind w:left="2160" w:hanging="360"/>
      </w:pPr>
      <w:rPr>
        <w:rFonts w:ascii="Wingdings" w:hAnsi="Wingdings" w:hint="default"/>
      </w:rPr>
    </w:lvl>
    <w:lvl w:ilvl="3" w:tplc="CCD227AC">
      <w:start w:val="1"/>
      <w:numFmt w:val="bullet"/>
      <w:lvlText w:val=""/>
      <w:lvlJc w:val="left"/>
      <w:pPr>
        <w:ind w:left="2880" w:hanging="360"/>
      </w:pPr>
      <w:rPr>
        <w:rFonts w:ascii="Symbol" w:hAnsi="Symbol" w:hint="default"/>
      </w:rPr>
    </w:lvl>
    <w:lvl w:ilvl="4" w:tplc="68C84DFE">
      <w:start w:val="1"/>
      <w:numFmt w:val="bullet"/>
      <w:lvlText w:val="o"/>
      <w:lvlJc w:val="left"/>
      <w:pPr>
        <w:ind w:left="3600" w:hanging="360"/>
      </w:pPr>
      <w:rPr>
        <w:rFonts w:ascii="Courier New" w:hAnsi="Courier New" w:hint="default"/>
      </w:rPr>
    </w:lvl>
    <w:lvl w:ilvl="5" w:tplc="76924458">
      <w:start w:val="1"/>
      <w:numFmt w:val="bullet"/>
      <w:lvlText w:val=""/>
      <w:lvlJc w:val="left"/>
      <w:pPr>
        <w:ind w:left="4320" w:hanging="360"/>
      </w:pPr>
      <w:rPr>
        <w:rFonts w:ascii="Wingdings" w:hAnsi="Wingdings" w:hint="default"/>
      </w:rPr>
    </w:lvl>
    <w:lvl w:ilvl="6" w:tplc="60F879EA">
      <w:start w:val="1"/>
      <w:numFmt w:val="bullet"/>
      <w:lvlText w:val=""/>
      <w:lvlJc w:val="left"/>
      <w:pPr>
        <w:ind w:left="5040" w:hanging="360"/>
      </w:pPr>
      <w:rPr>
        <w:rFonts w:ascii="Symbol" w:hAnsi="Symbol" w:hint="default"/>
      </w:rPr>
    </w:lvl>
    <w:lvl w:ilvl="7" w:tplc="81AE7484">
      <w:start w:val="1"/>
      <w:numFmt w:val="bullet"/>
      <w:lvlText w:val="o"/>
      <w:lvlJc w:val="left"/>
      <w:pPr>
        <w:ind w:left="5760" w:hanging="360"/>
      </w:pPr>
      <w:rPr>
        <w:rFonts w:ascii="Courier New" w:hAnsi="Courier New" w:hint="default"/>
      </w:rPr>
    </w:lvl>
    <w:lvl w:ilvl="8" w:tplc="5142BDC2">
      <w:start w:val="1"/>
      <w:numFmt w:val="bullet"/>
      <w:lvlText w:val=""/>
      <w:lvlJc w:val="left"/>
      <w:pPr>
        <w:ind w:left="6480" w:hanging="360"/>
      </w:pPr>
      <w:rPr>
        <w:rFonts w:ascii="Wingdings" w:hAnsi="Wingdings" w:hint="default"/>
      </w:rPr>
    </w:lvl>
  </w:abstractNum>
  <w:abstractNum w:abstractNumId="10" w15:restartNumberingAfterBreak="0">
    <w:nsid w:val="222A4F38"/>
    <w:multiLevelType w:val="multilevel"/>
    <w:tmpl w:val="D0F2796A"/>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1" w15:restartNumberingAfterBreak="0">
    <w:nsid w:val="24FC1E37"/>
    <w:multiLevelType w:val="multilevel"/>
    <w:tmpl w:val="A24E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52200"/>
    <w:multiLevelType w:val="hybridMultilevel"/>
    <w:tmpl w:val="0EB8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7F3705"/>
    <w:multiLevelType w:val="hybridMultilevel"/>
    <w:tmpl w:val="6B8C3DE0"/>
    <w:lvl w:ilvl="0" w:tplc="121ABD16">
      <w:start w:val="1"/>
      <w:numFmt w:val="bullet"/>
      <w:lvlText w:val=""/>
      <w:lvlJc w:val="left"/>
      <w:pPr>
        <w:ind w:left="720" w:hanging="360"/>
      </w:pPr>
      <w:rPr>
        <w:rFonts w:ascii="Symbol" w:hAnsi="Symbol" w:hint="default"/>
      </w:rPr>
    </w:lvl>
    <w:lvl w:ilvl="1" w:tplc="A9A0F2A0">
      <w:start w:val="1"/>
      <w:numFmt w:val="bullet"/>
      <w:lvlText w:val="o"/>
      <w:lvlJc w:val="left"/>
      <w:pPr>
        <w:ind w:left="1440" w:hanging="360"/>
      </w:pPr>
      <w:rPr>
        <w:rFonts w:ascii="Courier New" w:hAnsi="Courier New" w:hint="default"/>
      </w:rPr>
    </w:lvl>
    <w:lvl w:ilvl="2" w:tplc="7D50D488">
      <w:start w:val="1"/>
      <w:numFmt w:val="bullet"/>
      <w:lvlText w:val=""/>
      <w:lvlJc w:val="left"/>
      <w:pPr>
        <w:ind w:left="2160" w:hanging="360"/>
      </w:pPr>
      <w:rPr>
        <w:rFonts w:ascii="Wingdings" w:hAnsi="Wingdings" w:hint="default"/>
      </w:rPr>
    </w:lvl>
    <w:lvl w:ilvl="3" w:tplc="FEF6D1DC">
      <w:start w:val="1"/>
      <w:numFmt w:val="bullet"/>
      <w:lvlText w:val=""/>
      <w:lvlJc w:val="left"/>
      <w:pPr>
        <w:ind w:left="2880" w:hanging="360"/>
      </w:pPr>
      <w:rPr>
        <w:rFonts w:ascii="Symbol" w:hAnsi="Symbol" w:hint="default"/>
      </w:rPr>
    </w:lvl>
    <w:lvl w:ilvl="4" w:tplc="5CF0C2E8">
      <w:start w:val="1"/>
      <w:numFmt w:val="bullet"/>
      <w:lvlText w:val="o"/>
      <w:lvlJc w:val="left"/>
      <w:pPr>
        <w:ind w:left="3600" w:hanging="360"/>
      </w:pPr>
      <w:rPr>
        <w:rFonts w:ascii="Courier New" w:hAnsi="Courier New" w:hint="default"/>
      </w:rPr>
    </w:lvl>
    <w:lvl w:ilvl="5" w:tplc="BD9243A8">
      <w:start w:val="1"/>
      <w:numFmt w:val="bullet"/>
      <w:lvlText w:val=""/>
      <w:lvlJc w:val="left"/>
      <w:pPr>
        <w:ind w:left="4320" w:hanging="360"/>
      </w:pPr>
      <w:rPr>
        <w:rFonts w:ascii="Wingdings" w:hAnsi="Wingdings" w:hint="default"/>
      </w:rPr>
    </w:lvl>
    <w:lvl w:ilvl="6" w:tplc="F5FA3322">
      <w:start w:val="1"/>
      <w:numFmt w:val="bullet"/>
      <w:lvlText w:val=""/>
      <w:lvlJc w:val="left"/>
      <w:pPr>
        <w:ind w:left="5040" w:hanging="360"/>
      </w:pPr>
      <w:rPr>
        <w:rFonts w:ascii="Symbol" w:hAnsi="Symbol" w:hint="default"/>
      </w:rPr>
    </w:lvl>
    <w:lvl w:ilvl="7" w:tplc="FB3251FC">
      <w:start w:val="1"/>
      <w:numFmt w:val="bullet"/>
      <w:lvlText w:val="o"/>
      <w:lvlJc w:val="left"/>
      <w:pPr>
        <w:ind w:left="5760" w:hanging="360"/>
      </w:pPr>
      <w:rPr>
        <w:rFonts w:ascii="Courier New" w:hAnsi="Courier New" w:hint="default"/>
      </w:rPr>
    </w:lvl>
    <w:lvl w:ilvl="8" w:tplc="80A26462">
      <w:start w:val="1"/>
      <w:numFmt w:val="bullet"/>
      <w:lvlText w:val=""/>
      <w:lvlJc w:val="left"/>
      <w:pPr>
        <w:ind w:left="6480" w:hanging="360"/>
      </w:pPr>
      <w:rPr>
        <w:rFonts w:ascii="Wingdings" w:hAnsi="Wingdings" w:hint="default"/>
      </w:rPr>
    </w:lvl>
  </w:abstractNum>
  <w:abstractNum w:abstractNumId="14" w15:restartNumberingAfterBreak="0">
    <w:nsid w:val="2F9D68B1"/>
    <w:multiLevelType w:val="multilevel"/>
    <w:tmpl w:val="3E6E95AE"/>
    <w:lvl w:ilvl="0">
      <w:start w:val="1"/>
      <w:numFmt w:val="bullet"/>
      <w:pStyle w:val="Bulletlevel1"/>
      <w:lvlText w:val=""/>
      <w:lvlJc w:val="left"/>
      <w:pPr>
        <w:ind w:left="360" w:hanging="360"/>
      </w:pPr>
      <w:rPr>
        <w:rFonts w:ascii="Wingdings" w:hAnsi="Wingdings" w:hint="default"/>
      </w:rPr>
    </w:lvl>
    <w:lvl w:ilvl="1">
      <w:start w:val="1"/>
      <w:numFmt w:val="bullet"/>
      <w:pStyle w:val="Bulletlevel2"/>
      <w:lvlText w:val="◦"/>
      <w:lvlJc w:val="left"/>
      <w:pPr>
        <w:ind w:left="720" w:hanging="360"/>
      </w:pPr>
      <w:rPr>
        <w:rFonts w:ascii="Arial" w:hAnsi="Arial" w:hint="default"/>
      </w:rPr>
    </w:lvl>
    <w:lvl w:ilvl="2">
      <w:start w:val="1"/>
      <w:numFmt w:val="bullet"/>
      <w:pStyle w:val="Bulletlevel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636770D"/>
    <w:multiLevelType w:val="hybridMultilevel"/>
    <w:tmpl w:val="0894800C"/>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16" w15:restartNumberingAfterBreak="0">
    <w:nsid w:val="41616315"/>
    <w:multiLevelType w:val="multilevel"/>
    <w:tmpl w:val="A1D015DC"/>
    <w:lvl w:ilvl="0">
      <w:start w:val="1"/>
      <w:numFmt w:val="decimal"/>
      <w:pStyle w:val="berschriftNr1"/>
      <w:lvlText w:val="%1"/>
      <w:lvlJc w:val="left"/>
      <w:pPr>
        <w:ind w:left="432" w:hanging="432"/>
      </w:pPr>
      <w:rPr>
        <w:rFonts w:hint="default"/>
      </w:rPr>
    </w:lvl>
    <w:lvl w:ilvl="1">
      <w:start w:val="1"/>
      <w:numFmt w:val="decimal"/>
      <w:pStyle w:val="berschriftNr2"/>
      <w:lvlText w:val="%1.%2"/>
      <w:lvlJc w:val="left"/>
      <w:pPr>
        <w:ind w:left="576" w:hanging="576"/>
      </w:pPr>
      <w:rPr>
        <w:rFonts w:hint="default"/>
      </w:rPr>
    </w:lvl>
    <w:lvl w:ilvl="2">
      <w:start w:val="1"/>
      <w:numFmt w:val="decimal"/>
      <w:pStyle w:val="berschriftNr3"/>
      <w:lvlText w:val="%1.%2.%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17" w15:restartNumberingAfterBreak="0">
    <w:nsid w:val="41CE487F"/>
    <w:multiLevelType w:val="hybridMultilevel"/>
    <w:tmpl w:val="1A9E8E86"/>
    <w:lvl w:ilvl="0" w:tplc="122C7A18">
      <w:start w:val="1"/>
      <w:numFmt w:val="bullet"/>
      <w:pStyle w:val="Bulletpoint"/>
      <w:lvlText w:val=""/>
      <w:lvlJc w:val="left"/>
      <w:pPr>
        <w:ind w:left="567" w:hanging="283"/>
      </w:pPr>
      <w:rPr>
        <w:rFonts w:ascii="Symbol" w:hAnsi="Symbol" w:hint="default"/>
        <w:color w:val="0065B2" w:themeColor="accen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551922"/>
    <w:multiLevelType w:val="hybridMultilevel"/>
    <w:tmpl w:val="7C36C84C"/>
    <w:lvl w:ilvl="0" w:tplc="A5A647E4">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30BE5"/>
    <w:multiLevelType w:val="hybridMultilevel"/>
    <w:tmpl w:val="1AEA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9B13D2"/>
    <w:multiLevelType w:val="multilevel"/>
    <w:tmpl w:val="920E8B10"/>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pStyle w:val="heading3numgreen"/>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10168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5C7A1D"/>
    <w:multiLevelType w:val="multilevel"/>
    <w:tmpl w:val="BFFA4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DBFF6"/>
    <w:multiLevelType w:val="multilevel"/>
    <w:tmpl w:val="9E26A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A77CA"/>
    <w:multiLevelType w:val="hybridMultilevel"/>
    <w:tmpl w:val="9A9E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8C7BFB"/>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51184D8"/>
    <w:multiLevelType w:val="hybridMultilevel"/>
    <w:tmpl w:val="F182B1A4"/>
    <w:lvl w:ilvl="0" w:tplc="4C781784">
      <w:start w:val="1"/>
      <w:numFmt w:val="bullet"/>
      <w:lvlText w:val=""/>
      <w:lvlJc w:val="left"/>
      <w:pPr>
        <w:ind w:left="1080" w:hanging="360"/>
      </w:pPr>
      <w:rPr>
        <w:rFonts w:ascii="Symbol" w:hAnsi="Symbol" w:hint="default"/>
      </w:rPr>
    </w:lvl>
    <w:lvl w:ilvl="1" w:tplc="6A4668FC">
      <w:start w:val="1"/>
      <w:numFmt w:val="bullet"/>
      <w:lvlText w:val="o"/>
      <w:lvlJc w:val="left"/>
      <w:pPr>
        <w:ind w:left="1800" w:hanging="360"/>
      </w:pPr>
      <w:rPr>
        <w:rFonts w:ascii="Courier New" w:hAnsi="Courier New" w:hint="default"/>
      </w:rPr>
    </w:lvl>
    <w:lvl w:ilvl="2" w:tplc="03C053BA">
      <w:start w:val="1"/>
      <w:numFmt w:val="bullet"/>
      <w:lvlText w:val=""/>
      <w:lvlJc w:val="left"/>
      <w:pPr>
        <w:ind w:left="2520" w:hanging="360"/>
      </w:pPr>
      <w:rPr>
        <w:rFonts w:ascii="Wingdings" w:hAnsi="Wingdings" w:hint="default"/>
      </w:rPr>
    </w:lvl>
    <w:lvl w:ilvl="3" w:tplc="76C00174">
      <w:start w:val="1"/>
      <w:numFmt w:val="bullet"/>
      <w:lvlText w:val=""/>
      <w:lvlJc w:val="left"/>
      <w:pPr>
        <w:ind w:left="3240" w:hanging="360"/>
      </w:pPr>
      <w:rPr>
        <w:rFonts w:ascii="Symbol" w:hAnsi="Symbol" w:hint="default"/>
      </w:rPr>
    </w:lvl>
    <w:lvl w:ilvl="4" w:tplc="2FC03366">
      <w:start w:val="1"/>
      <w:numFmt w:val="bullet"/>
      <w:lvlText w:val="o"/>
      <w:lvlJc w:val="left"/>
      <w:pPr>
        <w:ind w:left="3960" w:hanging="360"/>
      </w:pPr>
      <w:rPr>
        <w:rFonts w:ascii="Courier New" w:hAnsi="Courier New" w:hint="default"/>
      </w:rPr>
    </w:lvl>
    <w:lvl w:ilvl="5" w:tplc="3AD8BB02">
      <w:start w:val="1"/>
      <w:numFmt w:val="bullet"/>
      <w:lvlText w:val=""/>
      <w:lvlJc w:val="left"/>
      <w:pPr>
        <w:ind w:left="4680" w:hanging="360"/>
      </w:pPr>
      <w:rPr>
        <w:rFonts w:ascii="Wingdings" w:hAnsi="Wingdings" w:hint="default"/>
      </w:rPr>
    </w:lvl>
    <w:lvl w:ilvl="6" w:tplc="BCDCEFAC">
      <w:start w:val="1"/>
      <w:numFmt w:val="bullet"/>
      <w:lvlText w:val=""/>
      <w:lvlJc w:val="left"/>
      <w:pPr>
        <w:ind w:left="5400" w:hanging="360"/>
      </w:pPr>
      <w:rPr>
        <w:rFonts w:ascii="Symbol" w:hAnsi="Symbol" w:hint="default"/>
      </w:rPr>
    </w:lvl>
    <w:lvl w:ilvl="7" w:tplc="519647C8">
      <w:start w:val="1"/>
      <w:numFmt w:val="bullet"/>
      <w:lvlText w:val="o"/>
      <w:lvlJc w:val="left"/>
      <w:pPr>
        <w:ind w:left="6120" w:hanging="360"/>
      </w:pPr>
      <w:rPr>
        <w:rFonts w:ascii="Courier New" w:hAnsi="Courier New" w:hint="default"/>
      </w:rPr>
    </w:lvl>
    <w:lvl w:ilvl="8" w:tplc="3B1E7214">
      <w:start w:val="1"/>
      <w:numFmt w:val="bullet"/>
      <w:lvlText w:val=""/>
      <w:lvlJc w:val="left"/>
      <w:pPr>
        <w:ind w:left="6840" w:hanging="360"/>
      </w:pPr>
      <w:rPr>
        <w:rFonts w:ascii="Wingdings" w:hAnsi="Wingdings" w:hint="default"/>
      </w:rPr>
    </w:lvl>
  </w:abstractNum>
  <w:abstractNum w:abstractNumId="27" w15:restartNumberingAfterBreak="0">
    <w:nsid w:val="5C6B5BF5"/>
    <w:multiLevelType w:val="hybridMultilevel"/>
    <w:tmpl w:val="7B26FB98"/>
    <w:lvl w:ilvl="0" w:tplc="AE7C357A">
      <w:start w:val="1"/>
      <w:numFmt w:val="bullet"/>
      <w:lvlText w:val=""/>
      <w:lvlJc w:val="left"/>
      <w:pPr>
        <w:ind w:left="720" w:hanging="360"/>
      </w:pPr>
      <w:rPr>
        <w:rFonts w:ascii="Symbol" w:hAnsi="Symbol" w:hint="default"/>
      </w:rPr>
    </w:lvl>
    <w:lvl w:ilvl="1" w:tplc="DC6A7738">
      <w:start w:val="1"/>
      <w:numFmt w:val="bullet"/>
      <w:lvlText w:val="o"/>
      <w:lvlJc w:val="left"/>
      <w:pPr>
        <w:ind w:left="1440" w:hanging="360"/>
      </w:pPr>
      <w:rPr>
        <w:rFonts w:ascii="Courier New" w:hAnsi="Courier New" w:hint="default"/>
      </w:rPr>
    </w:lvl>
    <w:lvl w:ilvl="2" w:tplc="0E4AAE66">
      <w:start w:val="1"/>
      <w:numFmt w:val="bullet"/>
      <w:lvlText w:val=""/>
      <w:lvlJc w:val="left"/>
      <w:pPr>
        <w:ind w:left="2160" w:hanging="360"/>
      </w:pPr>
      <w:rPr>
        <w:rFonts w:ascii="Wingdings" w:hAnsi="Wingdings" w:hint="default"/>
      </w:rPr>
    </w:lvl>
    <w:lvl w:ilvl="3" w:tplc="07943024">
      <w:start w:val="1"/>
      <w:numFmt w:val="bullet"/>
      <w:lvlText w:val=""/>
      <w:lvlJc w:val="left"/>
      <w:pPr>
        <w:ind w:left="2880" w:hanging="360"/>
      </w:pPr>
      <w:rPr>
        <w:rFonts w:ascii="Symbol" w:hAnsi="Symbol" w:hint="default"/>
      </w:rPr>
    </w:lvl>
    <w:lvl w:ilvl="4" w:tplc="62EEB9B2">
      <w:start w:val="1"/>
      <w:numFmt w:val="bullet"/>
      <w:lvlText w:val="o"/>
      <w:lvlJc w:val="left"/>
      <w:pPr>
        <w:ind w:left="3600" w:hanging="360"/>
      </w:pPr>
      <w:rPr>
        <w:rFonts w:ascii="Courier New" w:hAnsi="Courier New" w:hint="default"/>
      </w:rPr>
    </w:lvl>
    <w:lvl w:ilvl="5" w:tplc="562677B4">
      <w:start w:val="1"/>
      <w:numFmt w:val="bullet"/>
      <w:lvlText w:val=""/>
      <w:lvlJc w:val="left"/>
      <w:pPr>
        <w:ind w:left="4320" w:hanging="360"/>
      </w:pPr>
      <w:rPr>
        <w:rFonts w:ascii="Wingdings" w:hAnsi="Wingdings" w:hint="default"/>
      </w:rPr>
    </w:lvl>
    <w:lvl w:ilvl="6" w:tplc="D9BC9C3A">
      <w:start w:val="1"/>
      <w:numFmt w:val="bullet"/>
      <w:lvlText w:val=""/>
      <w:lvlJc w:val="left"/>
      <w:pPr>
        <w:ind w:left="5040" w:hanging="360"/>
      </w:pPr>
      <w:rPr>
        <w:rFonts w:ascii="Symbol" w:hAnsi="Symbol" w:hint="default"/>
      </w:rPr>
    </w:lvl>
    <w:lvl w:ilvl="7" w:tplc="FE5CC2B0">
      <w:start w:val="1"/>
      <w:numFmt w:val="bullet"/>
      <w:lvlText w:val="o"/>
      <w:lvlJc w:val="left"/>
      <w:pPr>
        <w:ind w:left="5760" w:hanging="360"/>
      </w:pPr>
      <w:rPr>
        <w:rFonts w:ascii="Courier New" w:hAnsi="Courier New" w:hint="default"/>
      </w:rPr>
    </w:lvl>
    <w:lvl w:ilvl="8" w:tplc="679A0942">
      <w:start w:val="1"/>
      <w:numFmt w:val="bullet"/>
      <w:lvlText w:val=""/>
      <w:lvlJc w:val="left"/>
      <w:pPr>
        <w:ind w:left="6480" w:hanging="360"/>
      </w:pPr>
      <w:rPr>
        <w:rFonts w:ascii="Wingdings" w:hAnsi="Wingdings" w:hint="default"/>
      </w:rPr>
    </w:lvl>
  </w:abstractNum>
  <w:abstractNum w:abstractNumId="28" w15:restartNumberingAfterBreak="0">
    <w:nsid w:val="5D911045"/>
    <w:multiLevelType w:val="hybridMultilevel"/>
    <w:tmpl w:val="C980CBE4"/>
    <w:lvl w:ilvl="0" w:tplc="615C5ABC">
      <w:start w:val="1"/>
      <w:numFmt w:val="bullet"/>
      <w:lvlText w:val=""/>
      <w:lvlJc w:val="left"/>
      <w:pPr>
        <w:ind w:left="720" w:hanging="360"/>
      </w:pPr>
      <w:rPr>
        <w:rFonts w:ascii="Symbol" w:hAnsi="Symbol" w:hint="default"/>
      </w:rPr>
    </w:lvl>
    <w:lvl w:ilvl="1" w:tplc="7BC47360">
      <w:start w:val="1"/>
      <w:numFmt w:val="bullet"/>
      <w:lvlText w:val="o"/>
      <w:lvlJc w:val="left"/>
      <w:pPr>
        <w:ind w:left="1440" w:hanging="360"/>
      </w:pPr>
      <w:rPr>
        <w:rFonts w:ascii="Courier New" w:hAnsi="Courier New" w:hint="default"/>
      </w:rPr>
    </w:lvl>
    <w:lvl w:ilvl="2" w:tplc="C28CE64E">
      <w:start w:val="1"/>
      <w:numFmt w:val="bullet"/>
      <w:lvlText w:val=""/>
      <w:lvlJc w:val="left"/>
      <w:pPr>
        <w:ind w:left="2160" w:hanging="360"/>
      </w:pPr>
      <w:rPr>
        <w:rFonts w:ascii="Wingdings" w:hAnsi="Wingdings" w:hint="default"/>
      </w:rPr>
    </w:lvl>
    <w:lvl w:ilvl="3" w:tplc="E908872E">
      <w:start w:val="1"/>
      <w:numFmt w:val="bullet"/>
      <w:lvlText w:val=""/>
      <w:lvlJc w:val="left"/>
      <w:pPr>
        <w:ind w:left="2880" w:hanging="360"/>
      </w:pPr>
      <w:rPr>
        <w:rFonts w:ascii="Symbol" w:hAnsi="Symbol" w:hint="default"/>
      </w:rPr>
    </w:lvl>
    <w:lvl w:ilvl="4" w:tplc="73224A1C">
      <w:start w:val="1"/>
      <w:numFmt w:val="bullet"/>
      <w:lvlText w:val="o"/>
      <w:lvlJc w:val="left"/>
      <w:pPr>
        <w:ind w:left="3600" w:hanging="360"/>
      </w:pPr>
      <w:rPr>
        <w:rFonts w:ascii="Courier New" w:hAnsi="Courier New" w:hint="default"/>
      </w:rPr>
    </w:lvl>
    <w:lvl w:ilvl="5" w:tplc="8402D53A">
      <w:start w:val="1"/>
      <w:numFmt w:val="bullet"/>
      <w:lvlText w:val=""/>
      <w:lvlJc w:val="left"/>
      <w:pPr>
        <w:ind w:left="4320" w:hanging="360"/>
      </w:pPr>
      <w:rPr>
        <w:rFonts w:ascii="Wingdings" w:hAnsi="Wingdings" w:hint="default"/>
      </w:rPr>
    </w:lvl>
    <w:lvl w:ilvl="6" w:tplc="C582B2DC">
      <w:start w:val="1"/>
      <w:numFmt w:val="bullet"/>
      <w:lvlText w:val=""/>
      <w:lvlJc w:val="left"/>
      <w:pPr>
        <w:ind w:left="5040" w:hanging="360"/>
      </w:pPr>
      <w:rPr>
        <w:rFonts w:ascii="Symbol" w:hAnsi="Symbol" w:hint="default"/>
      </w:rPr>
    </w:lvl>
    <w:lvl w:ilvl="7" w:tplc="2006D98E">
      <w:start w:val="1"/>
      <w:numFmt w:val="bullet"/>
      <w:lvlText w:val="o"/>
      <w:lvlJc w:val="left"/>
      <w:pPr>
        <w:ind w:left="5760" w:hanging="360"/>
      </w:pPr>
      <w:rPr>
        <w:rFonts w:ascii="Courier New" w:hAnsi="Courier New" w:hint="default"/>
      </w:rPr>
    </w:lvl>
    <w:lvl w:ilvl="8" w:tplc="9A24DFB8">
      <w:start w:val="1"/>
      <w:numFmt w:val="bullet"/>
      <w:lvlText w:val=""/>
      <w:lvlJc w:val="left"/>
      <w:pPr>
        <w:ind w:left="6480" w:hanging="360"/>
      </w:pPr>
      <w:rPr>
        <w:rFonts w:ascii="Wingdings" w:hAnsi="Wingdings" w:hint="default"/>
      </w:rPr>
    </w:lvl>
  </w:abstractNum>
  <w:abstractNum w:abstractNumId="29" w15:restartNumberingAfterBreak="0">
    <w:nsid w:val="62514E8E"/>
    <w:multiLevelType w:val="multilevel"/>
    <w:tmpl w:val="CCFC80B6"/>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4D20F8"/>
    <w:multiLevelType w:val="hybridMultilevel"/>
    <w:tmpl w:val="86D8715C"/>
    <w:lvl w:ilvl="0" w:tplc="AF9A22F6">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DCD2"/>
    <w:multiLevelType w:val="multilevel"/>
    <w:tmpl w:val="3ACE4064"/>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E544B4"/>
    <w:multiLevelType w:val="multilevel"/>
    <w:tmpl w:val="2F5AD444"/>
    <w:lvl w:ilvl="0">
      <w:start w:val="1"/>
      <w:numFmt w:val="decimal"/>
      <w:pStyle w:val="ListNr1"/>
      <w:lvlText w:val="%1."/>
      <w:lvlJc w:val="left"/>
      <w:pPr>
        <w:ind w:left="360" w:hanging="360"/>
      </w:pPr>
      <w:rPr>
        <w:rFonts w:hint="default"/>
      </w:rPr>
    </w:lvl>
    <w:lvl w:ilvl="1">
      <w:start w:val="1"/>
      <w:numFmt w:val="decimal"/>
      <w:pStyle w:val="ListNr2"/>
      <w:lvlText w:val="%1.%2."/>
      <w:lvlJc w:val="left"/>
      <w:pPr>
        <w:ind w:left="792" w:hanging="432"/>
      </w:pPr>
      <w:rPr>
        <w:rFonts w:hint="default"/>
      </w:rPr>
    </w:lvl>
    <w:lvl w:ilvl="2">
      <w:start w:val="1"/>
      <w:numFmt w:val="decimal"/>
      <w:pStyle w:val="ListN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91193E"/>
    <w:multiLevelType w:val="hybridMultilevel"/>
    <w:tmpl w:val="20165476"/>
    <w:lvl w:ilvl="0" w:tplc="8D4C09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ABBFA"/>
    <w:multiLevelType w:val="hybridMultilevel"/>
    <w:tmpl w:val="F4065032"/>
    <w:lvl w:ilvl="0" w:tplc="0FF0A80C">
      <w:start w:val="1"/>
      <w:numFmt w:val="bullet"/>
      <w:lvlText w:val=""/>
      <w:lvlJc w:val="left"/>
      <w:pPr>
        <w:ind w:left="720" w:hanging="360"/>
      </w:pPr>
      <w:rPr>
        <w:rFonts w:ascii="Symbol" w:hAnsi="Symbol" w:hint="default"/>
      </w:rPr>
    </w:lvl>
    <w:lvl w:ilvl="1" w:tplc="3FFCF910">
      <w:start w:val="1"/>
      <w:numFmt w:val="bullet"/>
      <w:lvlText w:val="o"/>
      <w:lvlJc w:val="left"/>
      <w:pPr>
        <w:ind w:left="1440" w:hanging="360"/>
      </w:pPr>
      <w:rPr>
        <w:rFonts w:ascii="Courier New" w:hAnsi="Courier New" w:hint="default"/>
      </w:rPr>
    </w:lvl>
    <w:lvl w:ilvl="2" w:tplc="6B6A31AE">
      <w:start w:val="1"/>
      <w:numFmt w:val="bullet"/>
      <w:lvlText w:val=""/>
      <w:lvlJc w:val="left"/>
      <w:pPr>
        <w:ind w:left="2160" w:hanging="360"/>
      </w:pPr>
      <w:rPr>
        <w:rFonts w:ascii="Wingdings" w:hAnsi="Wingdings" w:hint="default"/>
      </w:rPr>
    </w:lvl>
    <w:lvl w:ilvl="3" w:tplc="6CC64BA6">
      <w:start w:val="1"/>
      <w:numFmt w:val="bullet"/>
      <w:lvlText w:val=""/>
      <w:lvlJc w:val="left"/>
      <w:pPr>
        <w:ind w:left="2880" w:hanging="360"/>
      </w:pPr>
      <w:rPr>
        <w:rFonts w:ascii="Symbol" w:hAnsi="Symbol" w:hint="default"/>
      </w:rPr>
    </w:lvl>
    <w:lvl w:ilvl="4" w:tplc="9842A080">
      <w:start w:val="1"/>
      <w:numFmt w:val="bullet"/>
      <w:lvlText w:val="o"/>
      <w:lvlJc w:val="left"/>
      <w:pPr>
        <w:ind w:left="3600" w:hanging="360"/>
      </w:pPr>
      <w:rPr>
        <w:rFonts w:ascii="Courier New" w:hAnsi="Courier New" w:hint="default"/>
      </w:rPr>
    </w:lvl>
    <w:lvl w:ilvl="5" w:tplc="DB6C36FC">
      <w:start w:val="1"/>
      <w:numFmt w:val="bullet"/>
      <w:lvlText w:val=""/>
      <w:lvlJc w:val="left"/>
      <w:pPr>
        <w:ind w:left="4320" w:hanging="360"/>
      </w:pPr>
      <w:rPr>
        <w:rFonts w:ascii="Wingdings" w:hAnsi="Wingdings" w:hint="default"/>
      </w:rPr>
    </w:lvl>
    <w:lvl w:ilvl="6" w:tplc="BE3442D0">
      <w:start w:val="1"/>
      <w:numFmt w:val="bullet"/>
      <w:lvlText w:val=""/>
      <w:lvlJc w:val="left"/>
      <w:pPr>
        <w:ind w:left="5040" w:hanging="360"/>
      </w:pPr>
      <w:rPr>
        <w:rFonts w:ascii="Symbol" w:hAnsi="Symbol" w:hint="default"/>
      </w:rPr>
    </w:lvl>
    <w:lvl w:ilvl="7" w:tplc="808054D6">
      <w:start w:val="1"/>
      <w:numFmt w:val="bullet"/>
      <w:lvlText w:val="o"/>
      <w:lvlJc w:val="left"/>
      <w:pPr>
        <w:ind w:left="5760" w:hanging="360"/>
      </w:pPr>
      <w:rPr>
        <w:rFonts w:ascii="Courier New" w:hAnsi="Courier New" w:hint="default"/>
      </w:rPr>
    </w:lvl>
    <w:lvl w:ilvl="8" w:tplc="06EC0F54">
      <w:start w:val="1"/>
      <w:numFmt w:val="bullet"/>
      <w:lvlText w:val=""/>
      <w:lvlJc w:val="left"/>
      <w:pPr>
        <w:ind w:left="6480" w:hanging="360"/>
      </w:pPr>
      <w:rPr>
        <w:rFonts w:ascii="Wingdings" w:hAnsi="Wingdings" w:hint="default"/>
      </w:rPr>
    </w:lvl>
  </w:abstractNum>
  <w:abstractNum w:abstractNumId="35" w15:restartNumberingAfterBreak="0">
    <w:nsid w:val="7BC51235"/>
    <w:multiLevelType w:val="hybridMultilevel"/>
    <w:tmpl w:val="A8C03A98"/>
    <w:lvl w:ilvl="0" w:tplc="6CCE7DDE">
      <w:start w:val="1"/>
      <w:numFmt w:val="bullet"/>
      <w:lvlText w:val=""/>
      <w:lvlJc w:val="left"/>
      <w:pPr>
        <w:ind w:left="720" w:hanging="360"/>
      </w:pPr>
      <w:rPr>
        <w:rFonts w:ascii="Symbol" w:hAnsi="Symbol" w:hint="default"/>
      </w:rPr>
    </w:lvl>
    <w:lvl w:ilvl="1" w:tplc="112E5C48">
      <w:start w:val="1"/>
      <w:numFmt w:val="bullet"/>
      <w:lvlText w:val="o"/>
      <w:lvlJc w:val="left"/>
      <w:pPr>
        <w:ind w:left="1440" w:hanging="360"/>
      </w:pPr>
      <w:rPr>
        <w:rFonts w:ascii="Courier New" w:hAnsi="Courier New" w:hint="default"/>
      </w:rPr>
    </w:lvl>
    <w:lvl w:ilvl="2" w:tplc="91D07142">
      <w:start w:val="1"/>
      <w:numFmt w:val="bullet"/>
      <w:lvlText w:val=""/>
      <w:lvlJc w:val="left"/>
      <w:pPr>
        <w:ind w:left="2160" w:hanging="360"/>
      </w:pPr>
      <w:rPr>
        <w:rFonts w:ascii="Wingdings" w:hAnsi="Wingdings" w:hint="default"/>
      </w:rPr>
    </w:lvl>
    <w:lvl w:ilvl="3" w:tplc="89B09166">
      <w:start w:val="1"/>
      <w:numFmt w:val="bullet"/>
      <w:lvlText w:val=""/>
      <w:lvlJc w:val="left"/>
      <w:pPr>
        <w:ind w:left="2880" w:hanging="360"/>
      </w:pPr>
      <w:rPr>
        <w:rFonts w:ascii="Symbol" w:hAnsi="Symbol" w:hint="default"/>
      </w:rPr>
    </w:lvl>
    <w:lvl w:ilvl="4" w:tplc="95CC2D2E">
      <w:start w:val="1"/>
      <w:numFmt w:val="bullet"/>
      <w:lvlText w:val="o"/>
      <w:lvlJc w:val="left"/>
      <w:pPr>
        <w:ind w:left="3600" w:hanging="360"/>
      </w:pPr>
      <w:rPr>
        <w:rFonts w:ascii="Courier New" w:hAnsi="Courier New" w:hint="default"/>
      </w:rPr>
    </w:lvl>
    <w:lvl w:ilvl="5" w:tplc="946EA3B0">
      <w:start w:val="1"/>
      <w:numFmt w:val="bullet"/>
      <w:lvlText w:val=""/>
      <w:lvlJc w:val="left"/>
      <w:pPr>
        <w:ind w:left="4320" w:hanging="360"/>
      </w:pPr>
      <w:rPr>
        <w:rFonts w:ascii="Wingdings" w:hAnsi="Wingdings" w:hint="default"/>
      </w:rPr>
    </w:lvl>
    <w:lvl w:ilvl="6" w:tplc="4468B8A4">
      <w:start w:val="1"/>
      <w:numFmt w:val="bullet"/>
      <w:lvlText w:val=""/>
      <w:lvlJc w:val="left"/>
      <w:pPr>
        <w:ind w:left="5040" w:hanging="360"/>
      </w:pPr>
      <w:rPr>
        <w:rFonts w:ascii="Symbol" w:hAnsi="Symbol" w:hint="default"/>
      </w:rPr>
    </w:lvl>
    <w:lvl w:ilvl="7" w:tplc="1CB25116">
      <w:start w:val="1"/>
      <w:numFmt w:val="bullet"/>
      <w:lvlText w:val="o"/>
      <w:lvlJc w:val="left"/>
      <w:pPr>
        <w:ind w:left="5760" w:hanging="360"/>
      </w:pPr>
      <w:rPr>
        <w:rFonts w:ascii="Courier New" w:hAnsi="Courier New" w:hint="default"/>
      </w:rPr>
    </w:lvl>
    <w:lvl w:ilvl="8" w:tplc="4360328A">
      <w:start w:val="1"/>
      <w:numFmt w:val="bullet"/>
      <w:lvlText w:val=""/>
      <w:lvlJc w:val="left"/>
      <w:pPr>
        <w:ind w:left="6480" w:hanging="360"/>
      </w:pPr>
      <w:rPr>
        <w:rFonts w:ascii="Wingdings" w:hAnsi="Wingdings" w:hint="default"/>
      </w:rPr>
    </w:lvl>
  </w:abstractNum>
  <w:abstractNum w:abstractNumId="36" w15:restartNumberingAfterBreak="0">
    <w:nsid w:val="7C3F5A53"/>
    <w:multiLevelType w:val="hybridMultilevel"/>
    <w:tmpl w:val="B5646C62"/>
    <w:lvl w:ilvl="0" w:tplc="683092B6">
      <w:start w:val="1"/>
      <w:numFmt w:val="bullet"/>
      <w:lvlText w:val=""/>
      <w:lvlJc w:val="left"/>
      <w:pPr>
        <w:ind w:left="720" w:hanging="360"/>
      </w:pPr>
      <w:rPr>
        <w:rFonts w:ascii="Symbol" w:hAnsi="Symbol" w:hint="default"/>
      </w:rPr>
    </w:lvl>
    <w:lvl w:ilvl="1" w:tplc="BC14F3CC">
      <w:start w:val="1"/>
      <w:numFmt w:val="bullet"/>
      <w:lvlText w:val="o"/>
      <w:lvlJc w:val="left"/>
      <w:pPr>
        <w:ind w:left="1440" w:hanging="360"/>
      </w:pPr>
      <w:rPr>
        <w:rFonts w:ascii="Courier New" w:hAnsi="Courier New" w:hint="default"/>
      </w:rPr>
    </w:lvl>
    <w:lvl w:ilvl="2" w:tplc="5DFE4DAE">
      <w:start w:val="1"/>
      <w:numFmt w:val="bullet"/>
      <w:lvlText w:val=""/>
      <w:lvlJc w:val="left"/>
      <w:pPr>
        <w:ind w:left="2160" w:hanging="360"/>
      </w:pPr>
      <w:rPr>
        <w:rFonts w:ascii="Wingdings" w:hAnsi="Wingdings" w:hint="default"/>
      </w:rPr>
    </w:lvl>
    <w:lvl w:ilvl="3" w:tplc="90EC462C">
      <w:start w:val="1"/>
      <w:numFmt w:val="bullet"/>
      <w:lvlText w:val=""/>
      <w:lvlJc w:val="left"/>
      <w:pPr>
        <w:ind w:left="2880" w:hanging="360"/>
      </w:pPr>
      <w:rPr>
        <w:rFonts w:ascii="Symbol" w:hAnsi="Symbol" w:hint="default"/>
      </w:rPr>
    </w:lvl>
    <w:lvl w:ilvl="4" w:tplc="53EE523C">
      <w:start w:val="1"/>
      <w:numFmt w:val="bullet"/>
      <w:lvlText w:val="o"/>
      <w:lvlJc w:val="left"/>
      <w:pPr>
        <w:ind w:left="3600" w:hanging="360"/>
      </w:pPr>
      <w:rPr>
        <w:rFonts w:ascii="Courier New" w:hAnsi="Courier New" w:hint="default"/>
      </w:rPr>
    </w:lvl>
    <w:lvl w:ilvl="5" w:tplc="3CD40AEE">
      <w:start w:val="1"/>
      <w:numFmt w:val="bullet"/>
      <w:lvlText w:val=""/>
      <w:lvlJc w:val="left"/>
      <w:pPr>
        <w:ind w:left="4320" w:hanging="360"/>
      </w:pPr>
      <w:rPr>
        <w:rFonts w:ascii="Wingdings" w:hAnsi="Wingdings" w:hint="default"/>
      </w:rPr>
    </w:lvl>
    <w:lvl w:ilvl="6" w:tplc="AE4AF544">
      <w:start w:val="1"/>
      <w:numFmt w:val="bullet"/>
      <w:lvlText w:val=""/>
      <w:lvlJc w:val="left"/>
      <w:pPr>
        <w:ind w:left="5040" w:hanging="360"/>
      </w:pPr>
      <w:rPr>
        <w:rFonts w:ascii="Symbol" w:hAnsi="Symbol" w:hint="default"/>
      </w:rPr>
    </w:lvl>
    <w:lvl w:ilvl="7" w:tplc="EFAE64F0">
      <w:start w:val="1"/>
      <w:numFmt w:val="bullet"/>
      <w:lvlText w:val="o"/>
      <w:lvlJc w:val="left"/>
      <w:pPr>
        <w:ind w:left="5760" w:hanging="360"/>
      </w:pPr>
      <w:rPr>
        <w:rFonts w:ascii="Courier New" w:hAnsi="Courier New" w:hint="default"/>
      </w:rPr>
    </w:lvl>
    <w:lvl w:ilvl="8" w:tplc="E85A696E">
      <w:start w:val="1"/>
      <w:numFmt w:val="bullet"/>
      <w:lvlText w:val=""/>
      <w:lvlJc w:val="left"/>
      <w:pPr>
        <w:ind w:left="6480" w:hanging="360"/>
      </w:pPr>
      <w:rPr>
        <w:rFonts w:ascii="Wingdings" w:hAnsi="Wingdings" w:hint="default"/>
      </w:rPr>
    </w:lvl>
  </w:abstractNum>
  <w:abstractNum w:abstractNumId="37" w15:restartNumberingAfterBreak="0">
    <w:nsid w:val="7C9661A5"/>
    <w:multiLevelType w:val="multilevel"/>
    <w:tmpl w:val="8FF8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003050">
    <w:abstractNumId w:val="1"/>
  </w:num>
  <w:num w:numId="2" w16cid:durableId="1797290970">
    <w:abstractNumId w:val="29"/>
  </w:num>
  <w:num w:numId="3" w16cid:durableId="1370228084">
    <w:abstractNumId w:val="31"/>
  </w:num>
  <w:num w:numId="4" w16cid:durableId="354696004">
    <w:abstractNumId w:val="3"/>
  </w:num>
  <w:num w:numId="5" w16cid:durableId="381757438">
    <w:abstractNumId w:val="22"/>
  </w:num>
  <w:num w:numId="6" w16cid:durableId="2102599714">
    <w:abstractNumId w:val="4"/>
  </w:num>
  <w:num w:numId="7" w16cid:durableId="1351025155">
    <w:abstractNumId w:val="2"/>
  </w:num>
  <w:num w:numId="8" w16cid:durableId="1964841480">
    <w:abstractNumId w:val="23"/>
  </w:num>
  <w:num w:numId="9" w16cid:durableId="43524355">
    <w:abstractNumId w:val="6"/>
  </w:num>
  <w:num w:numId="10" w16cid:durableId="587858054">
    <w:abstractNumId w:val="8"/>
  </w:num>
  <w:num w:numId="11" w16cid:durableId="1924489838">
    <w:abstractNumId w:val="16"/>
  </w:num>
  <w:num w:numId="12" w16cid:durableId="1172135940">
    <w:abstractNumId w:val="14"/>
  </w:num>
  <w:num w:numId="13" w16cid:durableId="1188443949">
    <w:abstractNumId w:val="7"/>
  </w:num>
  <w:num w:numId="14" w16cid:durableId="2056925323">
    <w:abstractNumId w:val="25"/>
  </w:num>
  <w:num w:numId="15" w16cid:durableId="60294185">
    <w:abstractNumId w:val="21"/>
  </w:num>
  <w:num w:numId="16" w16cid:durableId="1169176226">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Wingdings" w:hAnsi="Wingdings"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7" w16cid:durableId="872884673">
    <w:abstractNumId w:val="10"/>
  </w:num>
  <w:num w:numId="18" w16cid:durableId="1422946357">
    <w:abstractNumId w:val="32"/>
  </w:num>
  <w:num w:numId="19" w16cid:durableId="717777785">
    <w:abstractNumId w:val="0"/>
  </w:num>
  <w:num w:numId="20" w16cid:durableId="1475609456">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21" w16cid:durableId="1368489528">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22" w16cid:durableId="730688210">
    <w:abstractNumId w:val="30"/>
  </w:num>
  <w:num w:numId="23" w16cid:durableId="1689210766">
    <w:abstractNumId w:val="18"/>
  </w:num>
  <w:num w:numId="24" w16cid:durableId="1560746091">
    <w:abstractNumId w:val="37"/>
  </w:num>
  <w:num w:numId="25" w16cid:durableId="1248349518">
    <w:abstractNumId w:val="11"/>
  </w:num>
  <w:num w:numId="26" w16cid:durableId="616644042">
    <w:abstractNumId w:val="15"/>
  </w:num>
  <w:num w:numId="27" w16cid:durableId="347634950">
    <w:abstractNumId w:val="5"/>
  </w:num>
  <w:num w:numId="28" w16cid:durableId="2022707545">
    <w:abstractNumId w:val="17"/>
  </w:num>
  <w:num w:numId="29" w16cid:durableId="713384590">
    <w:abstractNumId w:val="20"/>
  </w:num>
  <w:num w:numId="30" w16cid:durableId="50007334">
    <w:abstractNumId w:val="35"/>
  </w:num>
  <w:num w:numId="31" w16cid:durableId="1835484681">
    <w:abstractNumId w:val="13"/>
  </w:num>
  <w:num w:numId="32" w16cid:durableId="2133551844">
    <w:abstractNumId w:val="36"/>
  </w:num>
  <w:num w:numId="33" w16cid:durableId="177235842">
    <w:abstractNumId w:val="9"/>
  </w:num>
  <w:num w:numId="34" w16cid:durableId="2116093842">
    <w:abstractNumId w:val="28"/>
  </w:num>
  <w:num w:numId="35" w16cid:durableId="976911126">
    <w:abstractNumId w:val="26"/>
  </w:num>
  <w:num w:numId="36" w16cid:durableId="1290279491">
    <w:abstractNumId w:val="34"/>
  </w:num>
  <w:num w:numId="37" w16cid:durableId="1999773024">
    <w:abstractNumId w:val="27"/>
  </w:num>
  <w:num w:numId="38" w16cid:durableId="2030831433">
    <w:abstractNumId w:val="19"/>
  </w:num>
  <w:num w:numId="39" w16cid:durableId="643896930">
    <w:abstractNumId w:val="24"/>
  </w:num>
  <w:num w:numId="40" w16cid:durableId="1742218071">
    <w:abstractNumId w:val="12"/>
  </w:num>
  <w:num w:numId="41" w16cid:durableId="12878108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EIttable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NTAxMDE2NQMyLJR0lIJTi4sz8/NACgyNawGqj2tbLQAAAA=="/>
  </w:docVars>
  <w:rsids>
    <w:rsidRoot w:val="00CD7AA9"/>
    <w:rsid w:val="00003723"/>
    <w:rsid w:val="00010E8C"/>
    <w:rsid w:val="00013C55"/>
    <w:rsid w:val="00017829"/>
    <w:rsid w:val="00020A64"/>
    <w:rsid w:val="00020C6D"/>
    <w:rsid w:val="00023150"/>
    <w:rsid w:val="0002578F"/>
    <w:rsid w:val="00035310"/>
    <w:rsid w:val="00035EDC"/>
    <w:rsid w:val="000403FF"/>
    <w:rsid w:val="00042FAC"/>
    <w:rsid w:val="00046913"/>
    <w:rsid w:val="00046BD4"/>
    <w:rsid w:val="00057326"/>
    <w:rsid w:val="00057903"/>
    <w:rsid w:val="000623F1"/>
    <w:rsid w:val="00064FC7"/>
    <w:rsid w:val="00066C30"/>
    <w:rsid w:val="00067F22"/>
    <w:rsid w:val="00073427"/>
    <w:rsid w:val="00075C31"/>
    <w:rsid w:val="000815B4"/>
    <w:rsid w:val="000937D4"/>
    <w:rsid w:val="000A056A"/>
    <w:rsid w:val="000A1CA9"/>
    <w:rsid w:val="000A52F3"/>
    <w:rsid w:val="000A7AAD"/>
    <w:rsid w:val="000B0372"/>
    <w:rsid w:val="000B2312"/>
    <w:rsid w:val="000B42B7"/>
    <w:rsid w:val="000C04A1"/>
    <w:rsid w:val="000D0A04"/>
    <w:rsid w:val="000D3821"/>
    <w:rsid w:val="000D3FFE"/>
    <w:rsid w:val="000D46FC"/>
    <w:rsid w:val="000D519D"/>
    <w:rsid w:val="000D78D3"/>
    <w:rsid w:val="000D7A51"/>
    <w:rsid w:val="000E05CA"/>
    <w:rsid w:val="000E2836"/>
    <w:rsid w:val="000E318B"/>
    <w:rsid w:val="000E3CA6"/>
    <w:rsid w:val="000E4FAA"/>
    <w:rsid w:val="000E6217"/>
    <w:rsid w:val="000F3616"/>
    <w:rsid w:val="000F4B0E"/>
    <w:rsid w:val="000F4B2E"/>
    <w:rsid w:val="000F76BC"/>
    <w:rsid w:val="00101BD7"/>
    <w:rsid w:val="00102E3B"/>
    <w:rsid w:val="00103DB5"/>
    <w:rsid w:val="00104529"/>
    <w:rsid w:val="00116AE0"/>
    <w:rsid w:val="001173A2"/>
    <w:rsid w:val="0012221E"/>
    <w:rsid w:val="00124886"/>
    <w:rsid w:val="00126053"/>
    <w:rsid w:val="00127ACD"/>
    <w:rsid w:val="00131C3F"/>
    <w:rsid w:val="001362B3"/>
    <w:rsid w:val="00142014"/>
    <w:rsid w:val="001536BE"/>
    <w:rsid w:val="00160DA6"/>
    <w:rsid w:val="00165EEE"/>
    <w:rsid w:val="00170A61"/>
    <w:rsid w:val="00171DBF"/>
    <w:rsid w:val="001723A2"/>
    <w:rsid w:val="00176F1A"/>
    <w:rsid w:val="00177299"/>
    <w:rsid w:val="00182BDC"/>
    <w:rsid w:val="00185544"/>
    <w:rsid w:val="00195A91"/>
    <w:rsid w:val="001A1D05"/>
    <w:rsid w:val="001A2AE6"/>
    <w:rsid w:val="001A4B00"/>
    <w:rsid w:val="001A656F"/>
    <w:rsid w:val="001A7A3C"/>
    <w:rsid w:val="001B0DE8"/>
    <w:rsid w:val="001B37E2"/>
    <w:rsid w:val="001B665F"/>
    <w:rsid w:val="001B6B39"/>
    <w:rsid w:val="001C53F7"/>
    <w:rsid w:val="001D14B6"/>
    <w:rsid w:val="001E02DD"/>
    <w:rsid w:val="001E0AD2"/>
    <w:rsid w:val="001F3C22"/>
    <w:rsid w:val="001F3D36"/>
    <w:rsid w:val="001F414D"/>
    <w:rsid w:val="001F613B"/>
    <w:rsid w:val="00206BFB"/>
    <w:rsid w:val="00210660"/>
    <w:rsid w:val="002241B5"/>
    <w:rsid w:val="00233C91"/>
    <w:rsid w:val="0023580F"/>
    <w:rsid w:val="00240290"/>
    <w:rsid w:val="00243DB4"/>
    <w:rsid w:val="0024759E"/>
    <w:rsid w:val="0024CD1F"/>
    <w:rsid w:val="0025263F"/>
    <w:rsid w:val="00264823"/>
    <w:rsid w:val="0026590C"/>
    <w:rsid w:val="002700E9"/>
    <w:rsid w:val="002759C6"/>
    <w:rsid w:val="002760F5"/>
    <w:rsid w:val="00277A96"/>
    <w:rsid w:val="00280874"/>
    <w:rsid w:val="00280ED0"/>
    <w:rsid w:val="00282F68"/>
    <w:rsid w:val="00284036"/>
    <w:rsid w:val="00290DFC"/>
    <w:rsid w:val="00292CD1"/>
    <w:rsid w:val="0029D8DA"/>
    <w:rsid w:val="002A5745"/>
    <w:rsid w:val="002B3EBE"/>
    <w:rsid w:val="002B6904"/>
    <w:rsid w:val="002B7520"/>
    <w:rsid w:val="002B7D3D"/>
    <w:rsid w:val="002C3B76"/>
    <w:rsid w:val="002D18B6"/>
    <w:rsid w:val="002D2371"/>
    <w:rsid w:val="002D54C4"/>
    <w:rsid w:val="002D7489"/>
    <w:rsid w:val="002E1AFB"/>
    <w:rsid w:val="002E5D24"/>
    <w:rsid w:val="002E6EED"/>
    <w:rsid w:val="002F1B0D"/>
    <w:rsid w:val="002F32A2"/>
    <w:rsid w:val="00301162"/>
    <w:rsid w:val="00304106"/>
    <w:rsid w:val="003225AC"/>
    <w:rsid w:val="0032776C"/>
    <w:rsid w:val="00334125"/>
    <w:rsid w:val="00335BCE"/>
    <w:rsid w:val="00344699"/>
    <w:rsid w:val="003466C3"/>
    <w:rsid w:val="00351C75"/>
    <w:rsid w:val="00360FBD"/>
    <w:rsid w:val="0036514A"/>
    <w:rsid w:val="0036799A"/>
    <w:rsid w:val="00371028"/>
    <w:rsid w:val="00372B94"/>
    <w:rsid w:val="00373555"/>
    <w:rsid w:val="00380629"/>
    <w:rsid w:val="003818F1"/>
    <w:rsid w:val="00384B1A"/>
    <w:rsid w:val="003929C9"/>
    <w:rsid w:val="00394AC5"/>
    <w:rsid w:val="00394D87"/>
    <w:rsid w:val="00397186"/>
    <w:rsid w:val="003A7951"/>
    <w:rsid w:val="003C2D8F"/>
    <w:rsid w:val="003C4630"/>
    <w:rsid w:val="003D2BF5"/>
    <w:rsid w:val="003D2D5A"/>
    <w:rsid w:val="003D5A26"/>
    <w:rsid w:val="003E132A"/>
    <w:rsid w:val="003E4144"/>
    <w:rsid w:val="003E4A51"/>
    <w:rsid w:val="003F0F3F"/>
    <w:rsid w:val="003F20DC"/>
    <w:rsid w:val="003F22D7"/>
    <w:rsid w:val="003F48C4"/>
    <w:rsid w:val="003F6AE1"/>
    <w:rsid w:val="003F6E12"/>
    <w:rsid w:val="003F7118"/>
    <w:rsid w:val="003F7F76"/>
    <w:rsid w:val="00414C51"/>
    <w:rsid w:val="004151A9"/>
    <w:rsid w:val="0042106B"/>
    <w:rsid w:val="00426177"/>
    <w:rsid w:val="00426EB1"/>
    <w:rsid w:val="00427128"/>
    <w:rsid w:val="00431C20"/>
    <w:rsid w:val="00431D7C"/>
    <w:rsid w:val="0043281F"/>
    <w:rsid w:val="0043307C"/>
    <w:rsid w:val="00433097"/>
    <w:rsid w:val="00434F11"/>
    <w:rsid w:val="0043675F"/>
    <w:rsid w:val="00436B4B"/>
    <w:rsid w:val="004546E8"/>
    <w:rsid w:val="00455635"/>
    <w:rsid w:val="004616D5"/>
    <w:rsid w:val="00461931"/>
    <w:rsid w:val="00464A06"/>
    <w:rsid w:val="00464AD5"/>
    <w:rsid w:val="00476B8C"/>
    <w:rsid w:val="00481F9F"/>
    <w:rsid w:val="00484E3B"/>
    <w:rsid w:val="00487E4E"/>
    <w:rsid w:val="00495242"/>
    <w:rsid w:val="00496E2D"/>
    <w:rsid w:val="004A2C16"/>
    <w:rsid w:val="004A5E29"/>
    <w:rsid w:val="004A7CC9"/>
    <w:rsid w:val="004B0BB6"/>
    <w:rsid w:val="004C19DE"/>
    <w:rsid w:val="004D066D"/>
    <w:rsid w:val="004D0A3A"/>
    <w:rsid w:val="004D13C0"/>
    <w:rsid w:val="004F747B"/>
    <w:rsid w:val="00500A8E"/>
    <w:rsid w:val="00505543"/>
    <w:rsid w:val="005061AD"/>
    <w:rsid w:val="005117B6"/>
    <w:rsid w:val="00514C5B"/>
    <w:rsid w:val="00522C3E"/>
    <w:rsid w:val="00527F7F"/>
    <w:rsid w:val="00536B02"/>
    <w:rsid w:val="00537DF4"/>
    <w:rsid w:val="00543EBD"/>
    <w:rsid w:val="00544914"/>
    <w:rsid w:val="005457E4"/>
    <w:rsid w:val="00550DA4"/>
    <w:rsid w:val="005522ED"/>
    <w:rsid w:val="00552E79"/>
    <w:rsid w:val="005533BF"/>
    <w:rsid w:val="00554D28"/>
    <w:rsid w:val="005552F1"/>
    <w:rsid w:val="0057000C"/>
    <w:rsid w:val="00570B15"/>
    <w:rsid w:val="00572144"/>
    <w:rsid w:val="005731E2"/>
    <w:rsid w:val="00582D23"/>
    <w:rsid w:val="005860CF"/>
    <w:rsid w:val="00586F9A"/>
    <w:rsid w:val="0058747C"/>
    <w:rsid w:val="005900FF"/>
    <w:rsid w:val="005A56AC"/>
    <w:rsid w:val="005A625C"/>
    <w:rsid w:val="005B2317"/>
    <w:rsid w:val="005B3253"/>
    <w:rsid w:val="005B4BCC"/>
    <w:rsid w:val="005D210B"/>
    <w:rsid w:val="005D21D5"/>
    <w:rsid w:val="005D5DB9"/>
    <w:rsid w:val="005E5B19"/>
    <w:rsid w:val="005E5E03"/>
    <w:rsid w:val="006013E6"/>
    <w:rsid w:val="00612697"/>
    <w:rsid w:val="006126DF"/>
    <w:rsid w:val="0061300D"/>
    <w:rsid w:val="00614EDA"/>
    <w:rsid w:val="00621A9C"/>
    <w:rsid w:val="0062253B"/>
    <w:rsid w:val="0062534A"/>
    <w:rsid w:val="00637FA6"/>
    <w:rsid w:val="00645EF3"/>
    <w:rsid w:val="00647A5A"/>
    <w:rsid w:val="0065298C"/>
    <w:rsid w:val="00652994"/>
    <w:rsid w:val="0065533C"/>
    <w:rsid w:val="00660FBA"/>
    <w:rsid w:val="00663A67"/>
    <w:rsid w:val="006648F6"/>
    <w:rsid w:val="00664ACF"/>
    <w:rsid w:val="00671A19"/>
    <w:rsid w:val="00672532"/>
    <w:rsid w:val="00683EE5"/>
    <w:rsid w:val="006857DF"/>
    <w:rsid w:val="00686277"/>
    <w:rsid w:val="0069167D"/>
    <w:rsid w:val="00692E34"/>
    <w:rsid w:val="0069656C"/>
    <w:rsid w:val="006A036F"/>
    <w:rsid w:val="006A19A3"/>
    <w:rsid w:val="006B07D6"/>
    <w:rsid w:val="006B703D"/>
    <w:rsid w:val="006C2604"/>
    <w:rsid w:val="006C5658"/>
    <w:rsid w:val="006C72F6"/>
    <w:rsid w:val="006D2C78"/>
    <w:rsid w:val="006D3F3B"/>
    <w:rsid w:val="006E3253"/>
    <w:rsid w:val="006E39ED"/>
    <w:rsid w:val="006E4E9B"/>
    <w:rsid w:val="006F621C"/>
    <w:rsid w:val="006F6E19"/>
    <w:rsid w:val="006F75AF"/>
    <w:rsid w:val="00702106"/>
    <w:rsid w:val="00702204"/>
    <w:rsid w:val="007057BA"/>
    <w:rsid w:val="0071116D"/>
    <w:rsid w:val="00712CA5"/>
    <w:rsid w:val="00716DB1"/>
    <w:rsid w:val="00717291"/>
    <w:rsid w:val="00717D43"/>
    <w:rsid w:val="00724A89"/>
    <w:rsid w:val="00731C2D"/>
    <w:rsid w:val="00734F46"/>
    <w:rsid w:val="00737690"/>
    <w:rsid w:val="00745B6D"/>
    <w:rsid w:val="00746DAD"/>
    <w:rsid w:val="00753188"/>
    <w:rsid w:val="0075664C"/>
    <w:rsid w:val="00756D1F"/>
    <w:rsid w:val="00756F65"/>
    <w:rsid w:val="00770978"/>
    <w:rsid w:val="00771268"/>
    <w:rsid w:val="007715EA"/>
    <w:rsid w:val="007769D3"/>
    <w:rsid w:val="00780719"/>
    <w:rsid w:val="007817ED"/>
    <w:rsid w:val="00782FDA"/>
    <w:rsid w:val="0078331B"/>
    <w:rsid w:val="0079389B"/>
    <w:rsid w:val="0079618B"/>
    <w:rsid w:val="007A1F4E"/>
    <w:rsid w:val="007A2DB8"/>
    <w:rsid w:val="007A4011"/>
    <w:rsid w:val="007A4E91"/>
    <w:rsid w:val="007B3725"/>
    <w:rsid w:val="007B4A15"/>
    <w:rsid w:val="007B668F"/>
    <w:rsid w:val="007C0E9D"/>
    <w:rsid w:val="007C24C0"/>
    <w:rsid w:val="007C25E8"/>
    <w:rsid w:val="007C3339"/>
    <w:rsid w:val="007C60DF"/>
    <w:rsid w:val="007C6878"/>
    <w:rsid w:val="007F0E2F"/>
    <w:rsid w:val="00813B68"/>
    <w:rsid w:val="00816619"/>
    <w:rsid w:val="00820005"/>
    <w:rsid w:val="008217A5"/>
    <w:rsid w:val="00821E00"/>
    <w:rsid w:val="0082562E"/>
    <w:rsid w:val="008265FC"/>
    <w:rsid w:val="008277B5"/>
    <w:rsid w:val="00832F6E"/>
    <w:rsid w:val="00834F87"/>
    <w:rsid w:val="0083720A"/>
    <w:rsid w:val="0084068C"/>
    <w:rsid w:val="00847F1F"/>
    <w:rsid w:val="008522D9"/>
    <w:rsid w:val="00853FE2"/>
    <w:rsid w:val="0086035B"/>
    <w:rsid w:val="00860F54"/>
    <w:rsid w:val="00875ECF"/>
    <w:rsid w:val="00881C65"/>
    <w:rsid w:val="00882277"/>
    <w:rsid w:val="00883814"/>
    <w:rsid w:val="00883A82"/>
    <w:rsid w:val="00886DF7"/>
    <w:rsid w:val="008942E9"/>
    <w:rsid w:val="00895A7D"/>
    <w:rsid w:val="008A057B"/>
    <w:rsid w:val="008A2471"/>
    <w:rsid w:val="008A56D1"/>
    <w:rsid w:val="008A5B41"/>
    <w:rsid w:val="008A71B7"/>
    <w:rsid w:val="008B2F88"/>
    <w:rsid w:val="008B42B8"/>
    <w:rsid w:val="008B5243"/>
    <w:rsid w:val="008C19C6"/>
    <w:rsid w:val="008C452E"/>
    <w:rsid w:val="008C6C77"/>
    <w:rsid w:val="008F2770"/>
    <w:rsid w:val="008F376E"/>
    <w:rsid w:val="008F4972"/>
    <w:rsid w:val="008F4AB6"/>
    <w:rsid w:val="00902B30"/>
    <w:rsid w:val="0090376C"/>
    <w:rsid w:val="00907921"/>
    <w:rsid w:val="0091221F"/>
    <w:rsid w:val="00917DE1"/>
    <w:rsid w:val="00920499"/>
    <w:rsid w:val="00926AA2"/>
    <w:rsid w:val="0092774E"/>
    <w:rsid w:val="00933690"/>
    <w:rsid w:val="00933F6C"/>
    <w:rsid w:val="009371DE"/>
    <w:rsid w:val="00945623"/>
    <w:rsid w:val="00947C50"/>
    <w:rsid w:val="00951E49"/>
    <w:rsid w:val="00953639"/>
    <w:rsid w:val="00964F38"/>
    <w:rsid w:val="00970DE7"/>
    <w:rsid w:val="0097281B"/>
    <w:rsid w:val="00972913"/>
    <w:rsid w:val="009753C1"/>
    <w:rsid w:val="00977038"/>
    <w:rsid w:val="00984BF4"/>
    <w:rsid w:val="00986A69"/>
    <w:rsid w:val="009919AA"/>
    <w:rsid w:val="009A193E"/>
    <w:rsid w:val="009B369F"/>
    <w:rsid w:val="009B7845"/>
    <w:rsid w:val="009C195C"/>
    <w:rsid w:val="009C1F3B"/>
    <w:rsid w:val="009D2DC1"/>
    <w:rsid w:val="009D5118"/>
    <w:rsid w:val="009D7F33"/>
    <w:rsid w:val="009E1E4E"/>
    <w:rsid w:val="009E451A"/>
    <w:rsid w:val="00A0122B"/>
    <w:rsid w:val="00A019FB"/>
    <w:rsid w:val="00A0540E"/>
    <w:rsid w:val="00A100B4"/>
    <w:rsid w:val="00A12E2E"/>
    <w:rsid w:val="00A21794"/>
    <w:rsid w:val="00A224B9"/>
    <w:rsid w:val="00A312B2"/>
    <w:rsid w:val="00A32019"/>
    <w:rsid w:val="00A344E7"/>
    <w:rsid w:val="00A36212"/>
    <w:rsid w:val="00A642EC"/>
    <w:rsid w:val="00A7102B"/>
    <w:rsid w:val="00A72F65"/>
    <w:rsid w:val="00A84394"/>
    <w:rsid w:val="00A84486"/>
    <w:rsid w:val="00A844A3"/>
    <w:rsid w:val="00A92458"/>
    <w:rsid w:val="00A92D3C"/>
    <w:rsid w:val="00A94850"/>
    <w:rsid w:val="00A9505A"/>
    <w:rsid w:val="00AA114C"/>
    <w:rsid w:val="00AB1DD8"/>
    <w:rsid w:val="00AB4F80"/>
    <w:rsid w:val="00AC144C"/>
    <w:rsid w:val="00AC1876"/>
    <w:rsid w:val="00AC1A6E"/>
    <w:rsid w:val="00AC2641"/>
    <w:rsid w:val="00AD103D"/>
    <w:rsid w:val="00AE199C"/>
    <w:rsid w:val="00AE3939"/>
    <w:rsid w:val="00AF1628"/>
    <w:rsid w:val="00AF51F4"/>
    <w:rsid w:val="00AF7082"/>
    <w:rsid w:val="00B025C5"/>
    <w:rsid w:val="00B04388"/>
    <w:rsid w:val="00B06A6C"/>
    <w:rsid w:val="00B07006"/>
    <w:rsid w:val="00B118EC"/>
    <w:rsid w:val="00B11F42"/>
    <w:rsid w:val="00B14A7D"/>
    <w:rsid w:val="00B46C2A"/>
    <w:rsid w:val="00B50216"/>
    <w:rsid w:val="00B5189C"/>
    <w:rsid w:val="00B55456"/>
    <w:rsid w:val="00B63F2D"/>
    <w:rsid w:val="00B65B64"/>
    <w:rsid w:val="00B67002"/>
    <w:rsid w:val="00B70341"/>
    <w:rsid w:val="00B7428E"/>
    <w:rsid w:val="00B74299"/>
    <w:rsid w:val="00B74B6E"/>
    <w:rsid w:val="00B801EC"/>
    <w:rsid w:val="00B80690"/>
    <w:rsid w:val="00B85DB4"/>
    <w:rsid w:val="00B8756A"/>
    <w:rsid w:val="00B87A20"/>
    <w:rsid w:val="00B93A86"/>
    <w:rsid w:val="00B93E24"/>
    <w:rsid w:val="00B94053"/>
    <w:rsid w:val="00B959A6"/>
    <w:rsid w:val="00BA0DCF"/>
    <w:rsid w:val="00BA123B"/>
    <w:rsid w:val="00BA3B8F"/>
    <w:rsid w:val="00BA4268"/>
    <w:rsid w:val="00BB237C"/>
    <w:rsid w:val="00BB5CD3"/>
    <w:rsid w:val="00BC0AC4"/>
    <w:rsid w:val="00BC5C63"/>
    <w:rsid w:val="00BD0E58"/>
    <w:rsid w:val="00BD2EFE"/>
    <w:rsid w:val="00BD4FFA"/>
    <w:rsid w:val="00BD7FC7"/>
    <w:rsid w:val="00BE0CB5"/>
    <w:rsid w:val="00BF1B4B"/>
    <w:rsid w:val="00BF2B43"/>
    <w:rsid w:val="00BF5E0C"/>
    <w:rsid w:val="00C0094A"/>
    <w:rsid w:val="00C01B5E"/>
    <w:rsid w:val="00C06A6F"/>
    <w:rsid w:val="00C07842"/>
    <w:rsid w:val="00C078BD"/>
    <w:rsid w:val="00C07A0E"/>
    <w:rsid w:val="00C07C31"/>
    <w:rsid w:val="00C26AAE"/>
    <w:rsid w:val="00C2759A"/>
    <w:rsid w:val="00C3373B"/>
    <w:rsid w:val="00C374D5"/>
    <w:rsid w:val="00C42C78"/>
    <w:rsid w:val="00C451B2"/>
    <w:rsid w:val="00C46529"/>
    <w:rsid w:val="00C50411"/>
    <w:rsid w:val="00C54346"/>
    <w:rsid w:val="00C55898"/>
    <w:rsid w:val="00C60961"/>
    <w:rsid w:val="00C62AB3"/>
    <w:rsid w:val="00C666FE"/>
    <w:rsid w:val="00C7675A"/>
    <w:rsid w:val="00C90F27"/>
    <w:rsid w:val="00C94545"/>
    <w:rsid w:val="00C959F5"/>
    <w:rsid w:val="00CA00D7"/>
    <w:rsid w:val="00CA4463"/>
    <w:rsid w:val="00CA6AFC"/>
    <w:rsid w:val="00CA6CF8"/>
    <w:rsid w:val="00CA7E58"/>
    <w:rsid w:val="00CB006C"/>
    <w:rsid w:val="00CB143A"/>
    <w:rsid w:val="00CB46E2"/>
    <w:rsid w:val="00CC0AE5"/>
    <w:rsid w:val="00CC3CAA"/>
    <w:rsid w:val="00CC4777"/>
    <w:rsid w:val="00CC520F"/>
    <w:rsid w:val="00CD0A1A"/>
    <w:rsid w:val="00CD2DD6"/>
    <w:rsid w:val="00CD6372"/>
    <w:rsid w:val="00CD7AA9"/>
    <w:rsid w:val="00CE1EF6"/>
    <w:rsid w:val="00CE30E2"/>
    <w:rsid w:val="00CE4E25"/>
    <w:rsid w:val="00CE72F7"/>
    <w:rsid w:val="00CF12B6"/>
    <w:rsid w:val="00CF2BC4"/>
    <w:rsid w:val="00CF53AD"/>
    <w:rsid w:val="00CF5D93"/>
    <w:rsid w:val="00CF7AA9"/>
    <w:rsid w:val="00D0606A"/>
    <w:rsid w:val="00D07B59"/>
    <w:rsid w:val="00D10592"/>
    <w:rsid w:val="00D1419E"/>
    <w:rsid w:val="00D142B7"/>
    <w:rsid w:val="00D21BC5"/>
    <w:rsid w:val="00D32AA7"/>
    <w:rsid w:val="00D343A7"/>
    <w:rsid w:val="00D34A14"/>
    <w:rsid w:val="00D37BE2"/>
    <w:rsid w:val="00D4227C"/>
    <w:rsid w:val="00D47EFA"/>
    <w:rsid w:val="00D543DF"/>
    <w:rsid w:val="00D55478"/>
    <w:rsid w:val="00D57202"/>
    <w:rsid w:val="00D57A7B"/>
    <w:rsid w:val="00D77202"/>
    <w:rsid w:val="00D803A8"/>
    <w:rsid w:val="00D93192"/>
    <w:rsid w:val="00DA0734"/>
    <w:rsid w:val="00DA6D08"/>
    <w:rsid w:val="00DB75D7"/>
    <w:rsid w:val="00DC016C"/>
    <w:rsid w:val="00DC207A"/>
    <w:rsid w:val="00DC2880"/>
    <w:rsid w:val="00DC7C94"/>
    <w:rsid w:val="00DD3C5E"/>
    <w:rsid w:val="00DD3F3D"/>
    <w:rsid w:val="00DD7DD9"/>
    <w:rsid w:val="00DE0C00"/>
    <w:rsid w:val="00DF09C6"/>
    <w:rsid w:val="00DF1A97"/>
    <w:rsid w:val="00DF26B8"/>
    <w:rsid w:val="00E045DB"/>
    <w:rsid w:val="00E05C92"/>
    <w:rsid w:val="00E11F5E"/>
    <w:rsid w:val="00E13273"/>
    <w:rsid w:val="00E17282"/>
    <w:rsid w:val="00E173FC"/>
    <w:rsid w:val="00E24F9A"/>
    <w:rsid w:val="00E25394"/>
    <w:rsid w:val="00E36AC1"/>
    <w:rsid w:val="00E4037F"/>
    <w:rsid w:val="00E45D34"/>
    <w:rsid w:val="00E67DBF"/>
    <w:rsid w:val="00E752CD"/>
    <w:rsid w:val="00E77B28"/>
    <w:rsid w:val="00E81CAB"/>
    <w:rsid w:val="00E87BF7"/>
    <w:rsid w:val="00E904BB"/>
    <w:rsid w:val="00E929AD"/>
    <w:rsid w:val="00E94C7A"/>
    <w:rsid w:val="00EA50C2"/>
    <w:rsid w:val="00EB073F"/>
    <w:rsid w:val="00EB4EBB"/>
    <w:rsid w:val="00EB6A3C"/>
    <w:rsid w:val="00EE08F0"/>
    <w:rsid w:val="00EE22C5"/>
    <w:rsid w:val="00EE4C14"/>
    <w:rsid w:val="00EE5C4C"/>
    <w:rsid w:val="00EF05A0"/>
    <w:rsid w:val="00EF4FDE"/>
    <w:rsid w:val="00EF57E7"/>
    <w:rsid w:val="00F03919"/>
    <w:rsid w:val="00F133B0"/>
    <w:rsid w:val="00F155A5"/>
    <w:rsid w:val="00F16678"/>
    <w:rsid w:val="00F17D15"/>
    <w:rsid w:val="00F218BB"/>
    <w:rsid w:val="00F45170"/>
    <w:rsid w:val="00F46FCB"/>
    <w:rsid w:val="00F51615"/>
    <w:rsid w:val="00F51D52"/>
    <w:rsid w:val="00F555E9"/>
    <w:rsid w:val="00F57F9B"/>
    <w:rsid w:val="00F6312F"/>
    <w:rsid w:val="00F63E00"/>
    <w:rsid w:val="00F6532A"/>
    <w:rsid w:val="00F65F4F"/>
    <w:rsid w:val="00F67B6B"/>
    <w:rsid w:val="00F747ED"/>
    <w:rsid w:val="00F802FD"/>
    <w:rsid w:val="00F86BC1"/>
    <w:rsid w:val="00FA0A25"/>
    <w:rsid w:val="00FA1365"/>
    <w:rsid w:val="00FA50EB"/>
    <w:rsid w:val="00FB2B8D"/>
    <w:rsid w:val="00FB4612"/>
    <w:rsid w:val="00FC15D8"/>
    <w:rsid w:val="00FC3C53"/>
    <w:rsid w:val="00FD3576"/>
    <w:rsid w:val="00FD6755"/>
    <w:rsid w:val="00FE5458"/>
    <w:rsid w:val="00FF0851"/>
    <w:rsid w:val="00FF3C55"/>
    <w:rsid w:val="00FF5B71"/>
    <w:rsid w:val="00FF706D"/>
    <w:rsid w:val="01273B33"/>
    <w:rsid w:val="016B29E7"/>
    <w:rsid w:val="01C99741"/>
    <w:rsid w:val="022FC4D2"/>
    <w:rsid w:val="02938857"/>
    <w:rsid w:val="02ABDAEC"/>
    <w:rsid w:val="02C30B94"/>
    <w:rsid w:val="02C39E98"/>
    <w:rsid w:val="02CB6121"/>
    <w:rsid w:val="02D2449F"/>
    <w:rsid w:val="02FFF1E9"/>
    <w:rsid w:val="031C62CD"/>
    <w:rsid w:val="034E90F4"/>
    <w:rsid w:val="0390309B"/>
    <w:rsid w:val="03A23274"/>
    <w:rsid w:val="03B17A2F"/>
    <w:rsid w:val="03F74646"/>
    <w:rsid w:val="0409D3D6"/>
    <w:rsid w:val="041302E2"/>
    <w:rsid w:val="041A3D43"/>
    <w:rsid w:val="043F648F"/>
    <w:rsid w:val="045EDBF5"/>
    <w:rsid w:val="048D4142"/>
    <w:rsid w:val="0552F831"/>
    <w:rsid w:val="05A0F48B"/>
    <w:rsid w:val="05EDBA8F"/>
    <w:rsid w:val="05F71E32"/>
    <w:rsid w:val="0602A325"/>
    <w:rsid w:val="063EF865"/>
    <w:rsid w:val="06488F48"/>
    <w:rsid w:val="065D1143"/>
    <w:rsid w:val="0665EFEE"/>
    <w:rsid w:val="06726822"/>
    <w:rsid w:val="0690B2F0"/>
    <w:rsid w:val="06997871"/>
    <w:rsid w:val="06F76954"/>
    <w:rsid w:val="07967CB7"/>
    <w:rsid w:val="07D67F3F"/>
    <w:rsid w:val="0808DFBA"/>
    <w:rsid w:val="08750B2A"/>
    <w:rsid w:val="087AA1B3"/>
    <w:rsid w:val="08B050DF"/>
    <w:rsid w:val="08EDCD49"/>
    <w:rsid w:val="09781C98"/>
    <w:rsid w:val="09C848FC"/>
    <w:rsid w:val="09DA64CA"/>
    <w:rsid w:val="09F6154D"/>
    <w:rsid w:val="0A04FD0F"/>
    <w:rsid w:val="0A0C42FF"/>
    <w:rsid w:val="0B1421E8"/>
    <w:rsid w:val="0B3FE66D"/>
    <w:rsid w:val="0B954385"/>
    <w:rsid w:val="0BA62310"/>
    <w:rsid w:val="0BAF72E9"/>
    <w:rsid w:val="0C576154"/>
    <w:rsid w:val="0C7C5D4C"/>
    <w:rsid w:val="0CCACA0A"/>
    <w:rsid w:val="0CDFAB74"/>
    <w:rsid w:val="0CF8259D"/>
    <w:rsid w:val="0CFED7F4"/>
    <w:rsid w:val="0D44E1B9"/>
    <w:rsid w:val="0DC37B1C"/>
    <w:rsid w:val="0DC94EBE"/>
    <w:rsid w:val="0DD9405E"/>
    <w:rsid w:val="0DE48D26"/>
    <w:rsid w:val="0ED0D4AD"/>
    <w:rsid w:val="0EDD52AA"/>
    <w:rsid w:val="0EFE8347"/>
    <w:rsid w:val="0F027EE4"/>
    <w:rsid w:val="0F20814A"/>
    <w:rsid w:val="0F749F88"/>
    <w:rsid w:val="0FE60911"/>
    <w:rsid w:val="10308683"/>
    <w:rsid w:val="10449562"/>
    <w:rsid w:val="107C6C69"/>
    <w:rsid w:val="10B1B8D3"/>
    <w:rsid w:val="113CCA99"/>
    <w:rsid w:val="114C3773"/>
    <w:rsid w:val="1177CEFD"/>
    <w:rsid w:val="11918D0F"/>
    <w:rsid w:val="1194199D"/>
    <w:rsid w:val="119690B3"/>
    <w:rsid w:val="119DDB2E"/>
    <w:rsid w:val="11ACC88B"/>
    <w:rsid w:val="124647FB"/>
    <w:rsid w:val="1248D755"/>
    <w:rsid w:val="129E281E"/>
    <w:rsid w:val="12F3C243"/>
    <w:rsid w:val="130A8829"/>
    <w:rsid w:val="13189FB7"/>
    <w:rsid w:val="13FB125C"/>
    <w:rsid w:val="1438BFA4"/>
    <w:rsid w:val="1439F87F"/>
    <w:rsid w:val="144A9BDE"/>
    <w:rsid w:val="144D02E8"/>
    <w:rsid w:val="1453555D"/>
    <w:rsid w:val="147C91E7"/>
    <w:rsid w:val="148517E8"/>
    <w:rsid w:val="14A325EC"/>
    <w:rsid w:val="153AC905"/>
    <w:rsid w:val="154FF39E"/>
    <w:rsid w:val="15CD52E9"/>
    <w:rsid w:val="15D5C8E0"/>
    <w:rsid w:val="15E0A829"/>
    <w:rsid w:val="1621808F"/>
    <w:rsid w:val="16479B93"/>
    <w:rsid w:val="16A38004"/>
    <w:rsid w:val="16B25D38"/>
    <w:rsid w:val="175CD712"/>
    <w:rsid w:val="178D24FE"/>
    <w:rsid w:val="17AB12B8"/>
    <w:rsid w:val="17B38945"/>
    <w:rsid w:val="17C7ACA5"/>
    <w:rsid w:val="17EFA87B"/>
    <w:rsid w:val="17F25626"/>
    <w:rsid w:val="186E55F1"/>
    <w:rsid w:val="18879460"/>
    <w:rsid w:val="1893F534"/>
    <w:rsid w:val="18997B14"/>
    <w:rsid w:val="18A2EACD"/>
    <w:rsid w:val="18A8FBC1"/>
    <w:rsid w:val="190D69A2"/>
    <w:rsid w:val="1917BEA5"/>
    <w:rsid w:val="192B2B1E"/>
    <w:rsid w:val="1938099D"/>
    <w:rsid w:val="1960E5FF"/>
    <w:rsid w:val="197B4141"/>
    <w:rsid w:val="19B7A89A"/>
    <w:rsid w:val="1A3C8D1E"/>
    <w:rsid w:val="1A634E91"/>
    <w:rsid w:val="1AC31701"/>
    <w:rsid w:val="1AD13F79"/>
    <w:rsid w:val="1B249C34"/>
    <w:rsid w:val="1B3EFD3B"/>
    <w:rsid w:val="1B4B83C4"/>
    <w:rsid w:val="1B4DEDCB"/>
    <w:rsid w:val="1B6CB590"/>
    <w:rsid w:val="1B7A3D27"/>
    <w:rsid w:val="1BA46407"/>
    <w:rsid w:val="1BF8FF96"/>
    <w:rsid w:val="1C6B694A"/>
    <w:rsid w:val="1CE3BC8E"/>
    <w:rsid w:val="1D14E3B1"/>
    <w:rsid w:val="1E1FF03B"/>
    <w:rsid w:val="1E560194"/>
    <w:rsid w:val="1E6335D9"/>
    <w:rsid w:val="1EF67C9B"/>
    <w:rsid w:val="1F68DF9E"/>
    <w:rsid w:val="1F870029"/>
    <w:rsid w:val="1FA83B8C"/>
    <w:rsid w:val="1FBB7627"/>
    <w:rsid w:val="1FCE2ED9"/>
    <w:rsid w:val="1FFEB016"/>
    <w:rsid w:val="2018DA92"/>
    <w:rsid w:val="2032FD03"/>
    <w:rsid w:val="205373D0"/>
    <w:rsid w:val="20857A64"/>
    <w:rsid w:val="2092A645"/>
    <w:rsid w:val="20C5A58A"/>
    <w:rsid w:val="212EF270"/>
    <w:rsid w:val="21B4045E"/>
    <w:rsid w:val="21E72372"/>
    <w:rsid w:val="21EB2897"/>
    <w:rsid w:val="22DA7C35"/>
    <w:rsid w:val="23215D62"/>
    <w:rsid w:val="236DCFB5"/>
    <w:rsid w:val="23A32DE5"/>
    <w:rsid w:val="23FA14C8"/>
    <w:rsid w:val="24114072"/>
    <w:rsid w:val="2432D2FD"/>
    <w:rsid w:val="249AA9B5"/>
    <w:rsid w:val="24E0B512"/>
    <w:rsid w:val="24FA4AF8"/>
    <w:rsid w:val="2519F8C3"/>
    <w:rsid w:val="25269BB4"/>
    <w:rsid w:val="252AB6DF"/>
    <w:rsid w:val="25552409"/>
    <w:rsid w:val="260BF96D"/>
    <w:rsid w:val="260D3E59"/>
    <w:rsid w:val="2618876A"/>
    <w:rsid w:val="263FF4FD"/>
    <w:rsid w:val="265E832B"/>
    <w:rsid w:val="269942D7"/>
    <w:rsid w:val="269D068A"/>
    <w:rsid w:val="27189C34"/>
    <w:rsid w:val="2719318E"/>
    <w:rsid w:val="279E1793"/>
    <w:rsid w:val="27FD1708"/>
    <w:rsid w:val="2800FFB8"/>
    <w:rsid w:val="286257A1"/>
    <w:rsid w:val="2872F1AF"/>
    <w:rsid w:val="28B49E6B"/>
    <w:rsid w:val="28B6F1B3"/>
    <w:rsid w:val="28CA6CC9"/>
    <w:rsid w:val="28DC88C1"/>
    <w:rsid w:val="28F67B49"/>
    <w:rsid w:val="28F69097"/>
    <w:rsid w:val="296EAE9A"/>
    <w:rsid w:val="2A21A562"/>
    <w:rsid w:val="2A410EA6"/>
    <w:rsid w:val="2A52C214"/>
    <w:rsid w:val="2A614EA8"/>
    <w:rsid w:val="2B7C4223"/>
    <w:rsid w:val="2BA8CAF4"/>
    <w:rsid w:val="2BC58C2E"/>
    <w:rsid w:val="2CAFF382"/>
    <w:rsid w:val="2CBDC40E"/>
    <w:rsid w:val="2D0EF0A6"/>
    <w:rsid w:val="2D45A950"/>
    <w:rsid w:val="2DD90737"/>
    <w:rsid w:val="2E0B6377"/>
    <w:rsid w:val="2E7A5B04"/>
    <w:rsid w:val="2E7C63D7"/>
    <w:rsid w:val="2E9A1EC0"/>
    <w:rsid w:val="2EE59C07"/>
    <w:rsid w:val="2EFBA8C5"/>
    <w:rsid w:val="2F38101E"/>
    <w:rsid w:val="2F6C030D"/>
    <w:rsid w:val="2F7D3D59"/>
    <w:rsid w:val="30F58F14"/>
    <w:rsid w:val="30F95327"/>
    <w:rsid w:val="3104EE71"/>
    <w:rsid w:val="3127584C"/>
    <w:rsid w:val="31570735"/>
    <w:rsid w:val="3166894E"/>
    <w:rsid w:val="31B1DD8E"/>
    <w:rsid w:val="31D8BD39"/>
    <w:rsid w:val="32140B41"/>
    <w:rsid w:val="3226A13C"/>
    <w:rsid w:val="32322F9D"/>
    <w:rsid w:val="32974BBF"/>
    <w:rsid w:val="32FFA6DF"/>
    <w:rsid w:val="3346B926"/>
    <w:rsid w:val="3376ABDB"/>
    <w:rsid w:val="337885F1"/>
    <w:rsid w:val="3396F517"/>
    <w:rsid w:val="33E41E9F"/>
    <w:rsid w:val="33F9A2AE"/>
    <w:rsid w:val="34660291"/>
    <w:rsid w:val="346E18F0"/>
    <w:rsid w:val="347DFAF2"/>
    <w:rsid w:val="34A910E8"/>
    <w:rsid w:val="35260860"/>
    <w:rsid w:val="3540DAA9"/>
    <w:rsid w:val="35631A4B"/>
    <w:rsid w:val="356C7BC2"/>
    <w:rsid w:val="356D6918"/>
    <w:rsid w:val="364F2842"/>
    <w:rsid w:val="36B435D9"/>
    <w:rsid w:val="36C1BC9E"/>
    <w:rsid w:val="36DBB769"/>
    <w:rsid w:val="3785F023"/>
    <w:rsid w:val="37A6782C"/>
    <w:rsid w:val="37F2A629"/>
    <w:rsid w:val="386AD14E"/>
    <w:rsid w:val="3875DDD9"/>
    <w:rsid w:val="38DA000D"/>
    <w:rsid w:val="39258160"/>
    <w:rsid w:val="3937F30A"/>
    <w:rsid w:val="393843B8"/>
    <w:rsid w:val="394DD59F"/>
    <w:rsid w:val="39966410"/>
    <w:rsid w:val="3A1EA0CF"/>
    <w:rsid w:val="3AA00AAA"/>
    <w:rsid w:val="3B6E85B8"/>
    <w:rsid w:val="3B6EC9F1"/>
    <w:rsid w:val="3BA2D318"/>
    <w:rsid w:val="3BC3F081"/>
    <w:rsid w:val="3C060E74"/>
    <w:rsid w:val="3C072A90"/>
    <w:rsid w:val="3C3BDB0B"/>
    <w:rsid w:val="3C890CD7"/>
    <w:rsid w:val="3C91D8B8"/>
    <w:rsid w:val="3C9BF19A"/>
    <w:rsid w:val="3CB0420D"/>
    <w:rsid w:val="3CC6174C"/>
    <w:rsid w:val="3D0E881B"/>
    <w:rsid w:val="3DBB1ED1"/>
    <w:rsid w:val="3DE7534A"/>
    <w:rsid w:val="3E0BB4DB"/>
    <w:rsid w:val="3E2C7302"/>
    <w:rsid w:val="3E4F7CDA"/>
    <w:rsid w:val="3E7401A3"/>
    <w:rsid w:val="3E8A9C9E"/>
    <w:rsid w:val="3E98F345"/>
    <w:rsid w:val="3EFE5840"/>
    <w:rsid w:val="3F6151D6"/>
    <w:rsid w:val="3F6EFADB"/>
    <w:rsid w:val="3FA66C31"/>
    <w:rsid w:val="3FFE7ED3"/>
    <w:rsid w:val="4028CE7E"/>
    <w:rsid w:val="405FC19B"/>
    <w:rsid w:val="409B2989"/>
    <w:rsid w:val="40F17B01"/>
    <w:rsid w:val="40FF5BC8"/>
    <w:rsid w:val="422DC018"/>
    <w:rsid w:val="42447E7A"/>
    <w:rsid w:val="427F4C1E"/>
    <w:rsid w:val="4292C652"/>
    <w:rsid w:val="42A7DE11"/>
    <w:rsid w:val="42A87521"/>
    <w:rsid w:val="42AB1C8F"/>
    <w:rsid w:val="42AD82E4"/>
    <w:rsid w:val="42BB8D1D"/>
    <w:rsid w:val="4313ADDC"/>
    <w:rsid w:val="43241DF9"/>
    <w:rsid w:val="43C07DE7"/>
    <w:rsid w:val="44597241"/>
    <w:rsid w:val="445EA080"/>
    <w:rsid w:val="44AACBEE"/>
    <w:rsid w:val="45267E36"/>
    <w:rsid w:val="4564EEA4"/>
    <w:rsid w:val="457C534E"/>
    <w:rsid w:val="46E0BC76"/>
    <w:rsid w:val="477B793F"/>
    <w:rsid w:val="47E2ABCB"/>
    <w:rsid w:val="48080C6E"/>
    <w:rsid w:val="48911D49"/>
    <w:rsid w:val="489369EA"/>
    <w:rsid w:val="48A73A10"/>
    <w:rsid w:val="48F7F1C0"/>
    <w:rsid w:val="4912FB5C"/>
    <w:rsid w:val="49485753"/>
    <w:rsid w:val="496939CB"/>
    <w:rsid w:val="498CB72B"/>
    <w:rsid w:val="499A4971"/>
    <w:rsid w:val="4A2F37DF"/>
    <w:rsid w:val="4A9D0617"/>
    <w:rsid w:val="4B09A42E"/>
    <w:rsid w:val="4B48B168"/>
    <w:rsid w:val="4B4DE880"/>
    <w:rsid w:val="4C131F3B"/>
    <w:rsid w:val="4C49475F"/>
    <w:rsid w:val="4C860844"/>
    <w:rsid w:val="4C8855F3"/>
    <w:rsid w:val="4CBA02EA"/>
    <w:rsid w:val="4CDA5404"/>
    <w:rsid w:val="4CFCCEAA"/>
    <w:rsid w:val="4D48E7FB"/>
    <w:rsid w:val="4D590509"/>
    <w:rsid w:val="4D6B08EA"/>
    <w:rsid w:val="4D9374F3"/>
    <w:rsid w:val="4DC4B673"/>
    <w:rsid w:val="4DEFC976"/>
    <w:rsid w:val="4E259074"/>
    <w:rsid w:val="4EF6FAE5"/>
    <w:rsid w:val="4F50B3B2"/>
    <w:rsid w:val="4F6086D4"/>
    <w:rsid w:val="4FCDD7F7"/>
    <w:rsid w:val="5002A101"/>
    <w:rsid w:val="50B4200F"/>
    <w:rsid w:val="51022D42"/>
    <w:rsid w:val="5116B7B6"/>
    <w:rsid w:val="51589214"/>
    <w:rsid w:val="51597967"/>
    <w:rsid w:val="516166ED"/>
    <w:rsid w:val="51744BB0"/>
    <w:rsid w:val="5187FE0A"/>
    <w:rsid w:val="51A65EE8"/>
    <w:rsid w:val="51B9709A"/>
    <w:rsid w:val="51C1525E"/>
    <w:rsid w:val="51D62A38"/>
    <w:rsid w:val="52650F1B"/>
    <w:rsid w:val="52D99E6D"/>
    <w:rsid w:val="52F549C8"/>
    <w:rsid w:val="53087FF3"/>
    <w:rsid w:val="5350714A"/>
    <w:rsid w:val="537FE5CC"/>
    <w:rsid w:val="53B4D2B5"/>
    <w:rsid w:val="53FDDC4B"/>
    <w:rsid w:val="54252A5D"/>
    <w:rsid w:val="543DA561"/>
    <w:rsid w:val="5461BFC2"/>
    <w:rsid w:val="5489A859"/>
    <w:rsid w:val="54ABEC72"/>
    <w:rsid w:val="555F1E8B"/>
    <w:rsid w:val="5584EDDB"/>
    <w:rsid w:val="5634D810"/>
    <w:rsid w:val="5679D00B"/>
    <w:rsid w:val="56CC37C2"/>
    <w:rsid w:val="5702F5BC"/>
    <w:rsid w:val="5788CE62"/>
    <w:rsid w:val="57B6A021"/>
    <w:rsid w:val="57F5EB3E"/>
    <w:rsid w:val="58337D8A"/>
    <w:rsid w:val="586AFC6F"/>
    <w:rsid w:val="5874AE9D"/>
    <w:rsid w:val="58A9FF11"/>
    <w:rsid w:val="58E8376A"/>
    <w:rsid w:val="58E84D7C"/>
    <w:rsid w:val="58FBC838"/>
    <w:rsid w:val="59015FC7"/>
    <w:rsid w:val="5948DFF1"/>
    <w:rsid w:val="597AD4FF"/>
    <w:rsid w:val="59BA0A72"/>
    <w:rsid w:val="59BDF94E"/>
    <w:rsid w:val="5A0AA413"/>
    <w:rsid w:val="5A13D2A5"/>
    <w:rsid w:val="5A551A48"/>
    <w:rsid w:val="5A72F1FB"/>
    <w:rsid w:val="5AC06F24"/>
    <w:rsid w:val="5B050E0C"/>
    <w:rsid w:val="5B4553A8"/>
    <w:rsid w:val="5B563CBD"/>
    <w:rsid w:val="5B7395BC"/>
    <w:rsid w:val="5B8DC477"/>
    <w:rsid w:val="5B8E3E71"/>
    <w:rsid w:val="5BF03B87"/>
    <w:rsid w:val="5BF5C88C"/>
    <w:rsid w:val="5C1FD82C"/>
    <w:rsid w:val="5C47DD80"/>
    <w:rsid w:val="5C50607F"/>
    <w:rsid w:val="5C6B2FF8"/>
    <w:rsid w:val="5C779767"/>
    <w:rsid w:val="5CDC5332"/>
    <w:rsid w:val="5D2628D0"/>
    <w:rsid w:val="5D6BA912"/>
    <w:rsid w:val="5DAD7023"/>
    <w:rsid w:val="5DB12307"/>
    <w:rsid w:val="5DD98FCC"/>
    <w:rsid w:val="5E46F0B6"/>
    <w:rsid w:val="5E6BB993"/>
    <w:rsid w:val="60160F9B"/>
    <w:rsid w:val="60440970"/>
    <w:rsid w:val="60449060"/>
    <w:rsid w:val="60ECFB92"/>
    <w:rsid w:val="60F35F61"/>
    <w:rsid w:val="6102B326"/>
    <w:rsid w:val="612DA101"/>
    <w:rsid w:val="6150F861"/>
    <w:rsid w:val="6250A92F"/>
    <w:rsid w:val="626A63C3"/>
    <w:rsid w:val="62F64725"/>
    <w:rsid w:val="63A7C4D7"/>
    <w:rsid w:val="63D23F76"/>
    <w:rsid w:val="63D2DF89"/>
    <w:rsid w:val="63E0F4D2"/>
    <w:rsid w:val="63F15C17"/>
    <w:rsid w:val="642B0023"/>
    <w:rsid w:val="64442880"/>
    <w:rsid w:val="6469B874"/>
    <w:rsid w:val="6493FFC7"/>
    <w:rsid w:val="64AF2B79"/>
    <w:rsid w:val="64B55C74"/>
    <w:rsid w:val="64BC3D66"/>
    <w:rsid w:val="64D452C5"/>
    <w:rsid w:val="64E0981B"/>
    <w:rsid w:val="6502EA59"/>
    <w:rsid w:val="6519934D"/>
    <w:rsid w:val="652AEA3F"/>
    <w:rsid w:val="658D2C78"/>
    <w:rsid w:val="65A20800"/>
    <w:rsid w:val="65F6B7EA"/>
    <w:rsid w:val="6611E2D8"/>
    <w:rsid w:val="662290E4"/>
    <w:rsid w:val="66291572"/>
    <w:rsid w:val="664E0B06"/>
    <w:rsid w:val="66BF43B2"/>
    <w:rsid w:val="66D864A4"/>
    <w:rsid w:val="67E73D4C"/>
    <w:rsid w:val="67E84672"/>
    <w:rsid w:val="68564DC6"/>
    <w:rsid w:val="68736488"/>
    <w:rsid w:val="687E531A"/>
    <w:rsid w:val="68890DBF"/>
    <w:rsid w:val="68C3D282"/>
    <w:rsid w:val="68C8B1A8"/>
    <w:rsid w:val="690D9B36"/>
    <w:rsid w:val="6925F566"/>
    <w:rsid w:val="692F113A"/>
    <w:rsid w:val="6932565D"/>
    <w:rsid w:val="69343B3E"/>
    <w:rsid w:val="69797986"/>
    <w:rsid w:val="69940562"/>
    <w:rsid w:val="699C837D"/>
    <w:rsid w:val="69C79497"/>
    <w:rsid w:val="69F0F2DA"/>
    <w:rsid w:val="6A2E8580"/>
    <w:rsid w:val="6A399E51"/>
    <w:rsid w:val="6A5A74AB"/>
    <w:rsid w:val="6A7DB35F"/>
    <w:rsid w:val="6AC1C5C7"/>
    <w:rsid w:val="6AE0ACF5"/>
    <w:rsid w:val="6B5DD65B"/>
    <w:rsid w:val="6BB21590"/>
    <w:rsid w:val="6C6B8260"/>
    <w:rsid w:val="6CBBE74A"/>
    <w:rsid w:val="6CD94E9F"/>
    <w:rsid w:val="6CF19C75"/>
    <w:rsid w:val="6D05BF88"/>
    <w:rsid w:val="6D859DBC"/>
    <w:rsid w:val="6DB56EA2"/>
    <w:rsid w:val="6DBE8317"/>
    <w:rsid w:val="6DE053D5"/>
    <w:rsid w:val="6E2F2BF2"/>
    <w:rsid w:val="6E984BCA"/>
    <w:rsid w:val="6EA912C6"/>
    <w:rsid w:val="6EAE2586"/>
    <w:rsid w:val="6EFD8AD2"/>
    <w:rsid w:val="6F2CF1A7"/>
    <w:rsid w:val="6F438D18"/>
    <w:rsid w:val="6F5F74A0"/>
    <w:rsid w:val="6F9D8C06"/>
    <w:rsid w:val="6FEF5BD1"/>
    <w:rsid w:val="6FF84DC2"/>
    <w:rsid w:val="70BEDFAA"/>
    <w:rsid w:val="70DB3041"/>
    <w:rsid w:val="7104DC9A"/>
    <w:rsid w:val="712A7BDF"/>
    <w:rsid w:val="712CD75A"/>
    <w:rsid w:val="71C378B9"/>
    <w:rsid w:val="7209A7F5"/>
    <w:rsid w:val="72363AEF"/>
    <w:rsid w:val="7254A842"/>
    <w:rsid w:val="729D4312"/>
    <w:rsid w:val="72DE7E7A"/>
    <w:rsid w:val="73807732"/>
    <w:rsid w:val="73860DE6"/>
    <w:rsid w:val="739DBF4F"/>
    <w:rsid w:val="73C7583A"/>
    <w:rsid w:val="73DCA977"/>
    <w:rsid w:val="73EA8363"/>
    <w:rsid w:val="7426D2D3"/>
    <w:rsid w:val="74586538"/>
    <w:rsid w:val="74E7ED54"/>
    <w:rsid w:val="74F09B64"/>
    <w:rsid w:val="75398FB0"/>
    <w:rsid w:val="756BDFC8"/>
    <w:rsid w:val="756C61A3"/>
    <w:rsid w:val="758EF726"/>
    <w:rsid w:val="75AD220F"/>
    <w:rsid w:val="75F3D46D"/>
    <w:rsid w:val="75F504F1"/>
    <w:rsid w:val="76094C4D"/>
    <w:rsid w:val="760D249D"/>
    <w:rsid w:val="76414B3F"/>
    <w:rsid w:val="7693ACCC"/>
    <w:rsid w:val="76B9CF95"/>
    <w:rsid w:val="76C8D131"/>
    <w:rsid w:val="76EE886E"/>
    <w:rsid w:val="76F5E8AF"/>
    <w:rsid w:val="770D71A5"/>
    <w:rsid w:val="773BBA3A"/>
    <w:rsid w:val="778D6674"/>
    <w:rsid w:val="780450FB"/>
    <w:rsid w:val="7864A192"/>
    <w:rsid w:val="78BA487C"/>
    <w:rsid w:val="78D93487"/>
    <w:rsid w:val="78EAA29A"/>
    <w:rsid w:val="792BD65B"/>
    <w:rsid w:val="79798164"/>
    <w:rsid w:val="79A11EFD"/>
    <w:rsid w:val="79DE3251"/>
    <w:rsid w:val="7A151364"/>
    <w:rsid w:val="7A1623D1"/>
    <w:rsid w:val="7A22EAB2"/>
    <w:rsid w:val="7A23C045"/>
    <w:rsid w:val="7A262930"/>
    <w:rsid w:val="7A988248"/>
    <w:rsid w:val="7AB83CE5"/>
    <w:rsid w:val="7ABFEFB1"/>
    <w:rsid w:val="7AF8058A"/>
    <w:rsid w:val="7B676673"/>
    <w:rsid w:val="7BB42253"/>
    <w:rsid w:val="7C2143A2"/>
    <w:rsid w:val="7C2B64F6"/>
    <w:rsid w:val="7C2DC19F"/>
    <w:rsid w:val="7CA8C5AD"/>
    <w:rsid w:val="7CEA9BF9"/>
    <w:rsid w:val="7E0BDBEC"/>
    <w:rsid w:val="7E0D6765"/>
    <w:rsid w:val="7E62F9EB"/>
    <w:rsid w:val="7E801DFE"/>
    <w:rsid w:val="7EC816BC"/>
    <w:rsid w:val="7EDEFA92"/>
    <w:rsid w:val="7FB1535E"/>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E2C5"/>
  <w15:docId w15:val="{47F31D38-8447-453B-8953-06A64E0E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F1"/>
    <w:pPr>
      <w:spacing w:after="240" w:line="260" w:lineRule="atLeast"/>
    </w:pPr>
    <w:rPr>
      <w:rFonts w:ascii="Calibri" w:hAnsi="Calibri"/>
      <w:color w:val="333333"/>
      <w:sz w:val="20"/>
      <w:lang w:val="en-US"/>
    </w:rPr>
  </w:style>
  <w:style w:type="paragraph" w:styleId="Ttol1">
    <w:name w:val="heading 1"/>
    <w:basedOn w:val="Normal"/>
    <w:next w:val="Normal"/>
    <w:link w:val="Ttol1Car"/>
    <w:uiPriority w:val="9"/>
    <w:qFormat/>
    <w:rsid w:val="00035EDC"/>
    <w:pPr>
      <w:keepNext/>
      <w:keepLines/>
      <w:spacing w:after="520" w:line="640" w:lineRule="exact"/>
      <w:outlineLvl w:val="0"/>
    </w:pPr>
    <w:rPr>
      <w:rFonts w:ascii="Calibri Light" w:eastAsiaTheme="majorEastAsia" w:hAnsi="Calibri Light" w:cstheme="majorBidi"/>
      <w:color w:val="034EA2"/>
      <w:sz w:val="60"/>
      <w:szCs w:val="32"/>
    </w:rPr>
  </w:style>
  <w:style w:type="paragraph" w:styleId="Ttol2">
    <w:name w:val="heading 2"/>
    <w:basedOn w:val="Normal"/>
    <w:next w:val="Normal"/>
    <w:link w:val="Ttol2Car"/>
    <w:uiPriority w:val="9"/>
    <w:unhideWhenUsed/>
    <w:qFormat/>
    <w:rsid w:val="00FF5B71"/>
    <w:pPr>
      <w:keepNext/>
      <w:keepLines/>
      <w:spacing w:before="340" w:after="112" w:line="320" w:lineRule="exact"/>
      <w:outlineLvl w:val="1"/>
    </w:pPr>
    <w:rPr>
      <w:rFonts w:ascii="Calibri Light" w:eastAsiaTheme="majorEastAsia" w:hAnsi="Calibri Light" w:cstheme="majorBidi"/>
      <w:color w:val="034EA2"/>
      <w:sz w:val="28"/>
      <w:szCs w:val="26"/>
    </w:rPr>
  </w:style>
  <w:style w:type="paragraph" w:styleId="Ttol3">
    <w:name w:val="heading 3"/>
    <w:basedOn w:val="Normal"/>
    <w:next w:val="Normal"/>
    <w:link w:val="Ttol3Car"/>
    <w:uiPriority w:val="9"/>
    <w:qFormat/>
    <w:rsid w:val="008C6C77"/>
    <w:pPr>
      <w:keepNext/>
      <w:keepLines/>
      <w:spacing w:before="340" w:after="112"/>
      <w:outlineLvl w:val="2"/>
    </w:pPr>
    <w:rPr>
      <w:rFonts w:eastAsiaTheme="majorEastAsia" w:cstheme="majorBidi"/>
      <w:sz w:val="24"/>
      <w:szCs w:val="24"/>
    </w:rPr>
  </w:style>
  <w:style w:type="paragraph" w:styleId="Ttol4">
    <w:name w:val="heading 4"/>
    <w:basedOn w:val="Normal"/>
    <w:next w:val="Normal"/>
    <w:link w:val="Ttol4Car"/>
    <w:uiPriority w:val="9"/>
    <w:semiHidden/>
    <w:qFormat/>
    <w:rsid w:val="00B025C5"/>
    <w:pPr>
      <w:keepNext/>
      <w:keepLines/>
      <w:numPr>
        <w:ilvl w:val="3"/>
        <w:numId w:val="11"/>
      </w:numPr>
      <w:spacing w:before="40" w:after="0"/>
      <w:outlineLvl w:val="3"/>
    </w:pPr>
    <w:rPr>
      <w:rFonts w:asciiTheme="majorHAnsi" w:eastAsiaTheme="majorEastAsia" w:hAnsiTheme="majorHAnsi" w:cstheme="majorBidi"/>
      <w:i/>
      <w:iCs/>
      <w:color w:val="004B85" w:themeColor="accent1" w:themeShade="BF"/>
    </w:rPr>
  </w:style>
  <w:style w:type="paragraph" w:styleId="Ttol5">
    <w:name w:val="heading 5"/>
    <w:basedOn w:val="Normal"/>
    <w:next w:val="Normal"/>
    <w:link w:val="Ttol5Car"/>
    <w:uiPriority w:val="9"/>
    <w:semiHidden/>
    <w:unhideWhenUsed/>
    <w:qFormat/>
    <w:rsid w:val="00B025C5"/>
    <w:pPr>
      <w:keepNext/>
      <w:keepLines/>
      <w:numPr>
        <w:ilvl w:val="4"/>
        <w:numId w:val="11"/>
      </w:numPr>
      <w:spacing w:before="40" w:after="0"/>
      <w:outlineLvl w:val="4"/>
    </w:pPr>
    <w:rPr>
      <w:rFonts w:asciiTheme="majorHAnsi" w:eastAsiaTheme="majorEastAsia" w:hAnsiTheme="majorHAnsi" w:cstheme="majorBidi"/>
      <w:color w:val="004B85" w:themeColor="accent1" w:themeShade="BF"/>
    </w:rPr>
  </w:style>
  <w:style w:type="paragraph" w:styleId="Ttol6">
    <w:name w:val="heading 6"/>
    <w:basedOn w:val="Normal"/>
    <w:next w:val="Normal"/>
    <w:link w:val="Ttol6Car"/>
    <w:uiPriority w:val="9"/>
    <w:semiHidden/>
    <w:unhideWhenUsed/>
    <w:qFormat/>
    <w:rsid w:val="00B025C5"/>
    <w:pPr>
      <w:keepNext/>
      <w:keepLines/>
      <w:numPr>
        <w:ilvl w:val="5"/>
        <w:numId w:val="11"/>
      </w:numPr>
      <w:spacing w:before="40" w:after="0"/>
      <w:outlineLvl w:val="5"/>
    </w:pPr>
    <w:rPr>
      <w:rFonts w:asciiTheme="majorHAnsi" w:eastAsiaTheme="majorEastAsia" w:hAnsiTheme="majorHAnsi" w:cstheme="majorBidi"/>
      <w:color w:val="003158" w:themeColor="accent1" w:themeShade="7F"/>
    </w:rPr>
  </w:style>
  <w:style w:type="paragraph" w:styleId="Ttol7">
    <w:name w:val="heading 7"/>
    <w:basedOn w:val="Normal"/>
    <w:next w:val="Normal"/>
    <w:link w:val="Ttol7Car"/>
    <w:uiPriority w:val="9"/>
    <w:semiHidden/>
    <w:unhideWhenUsed/>
    <w:qFormat/>
    <w:rsid w:val="00B025C5"/>
    <w:pPr>
      <w:keepNext/>
      <w:keepLines/>
      <w:numPr>
        <w:ilvl w:val="6"/>
        <w:numId w:val="11"/>
      </w:numPr>
      <w:spacing w:before="40" w:after="0"/>
      <w:outlineLvl w:val="6"/>
    </w:pPr>
    <w:rPr>
      <w:rFonts w:asciiTheme="majorHAnsi" w:eastAsiaTheme="majorEastAsia" w:hAnsiTheme="majorHAnsi" w:cstheme="majorBidi"/>
      <w:i/>
      <w:iCs/>
      <w:color w:val="003158" w:themeColor="accent1" w:themeShade="7F"/>
    </w:rPr>
  </w:style>
  <w:style w:type="paragraph" w:styleId="Ttol8">
    <w:name w:val="heading 8"/>
    <w:basedOn w:val="Normal"/>
    <w:next w:val="Normal"/>
    <w:link w:val="Ttol8Car"/>
    <w:uiPriority w:val="9"/>
    <w:semiHidden/>
    <w:unhideWhenUsed/>
    <w:qFormat/>
    <w:rsid w:val="00B025C5"/>
    <w:pPr>
      <w:keepNext/>
      <w:keepLines/>
      <w:numPr>
        <w:ilvl w:val="7"/>
        <w:numId w:val="11"/>
      </w:numPr>
      <w:spacing w:before="40" w:after="0"/>
      <w:outlineLvl w:val="7"/>
    </w:pPr>
    <w:rPr>
      <w:rFonts w:asciiTheme="majorHAnsi" w:eastAsiaTheme="majorEastAsia" w:hAnsiTheme="majorHAnsi" w:cstheme="majorBidi"/>
      <w:color w:val="565656" w:themeColor="text1" w:themeTint="D8"/>
      <w:sz w:val="21"/>
      <w:szCs w:val="21"/>
    </w:rPr>
  </w:style>
  <w:style w:type="paragraph" w:styleId="Ttol9">
    <w:name w:val="heading 9"/>
    <w:basedOn w:val="Normal"/>
    <w:next w:val="Normal"/>
    <w:link w:val="Ttol9Car"/>
    <w:uiPriority w:val="9"/>
    <w:semiHidden/>
    <w:unhideWhenUsed/>
    <w:qFormat/>
    <w:rsid w:val="00B025C5"/>
    <w:pPr>
      <w:keepNext/>
      <w:keepLines/>
      <w:numPr>
        <w:ilvl w:val="8"/>
        <w:numId w:val="11"/>
      </w:numPr>
      <w:spacing w:before="40" w:after="0"/>
      <w:outlineLvl w:val="8"/>
    </w:pPr>
    <w:rPr>
      <w:rFonts w:asciiTheme="majorHAnsi" w:eastAsiaTheme="majorEastAsia" w:hAnsiTheme="majorHAnsi" w:cstheme="majorBidi"/>
      <w:i/>
      <w:iCs/>
      <w:color w:val="565656"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B04388"/>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B04388"/>
  </w:style>
  <w:style w:type="paragraph" w:styleId="Peu">
    <w:name w:val="footer"/>
    <w:basedOn w:val="Normal"/>
    <w:link w:val="PeuCar"/>
    <w:uiPriority w:val="99"/>
    <w:unhideWhenUsed/>
    <w:rsid w:val="009919AA"/>
    <w:pPr>
      <w:tabs>
        <w:tab w:val="center" w:pos="4536"/>
        <w:tab w:val="right" w:pos="9072"/>
      </w:tabs>
      <w:spacing w:after="0" w:line="240" w:lineRule="auto"/>
    </w:pPr>
    <w:rPr>
      <w:rFonts w:asciiTheme="majorHAnsi" w:hAnsiTheme="majorHAnsi"/>
      <w:sz w:val="12"/>
    </w:rPr>
  </w:style>
  <w:style w:type="character" w:customStyle="1" w:styleId="PeuCar">
    <w:name w:val="Peu Car"/>
    <w:basedOn w:val="Lletraperdefectedelpargraf"/>
    <w:link w:val="Peu"/>
    <w:uiPriority w:val="99"/>
    <w:rsid w:val="009919AA"/>
    <w:rPr>
      <w:rFonts w:asciiTheme="majorHAnsi" w:hAnsiTheme="majorHAnsi"/>
      <w:color w:val="383838"/>
      <w:sz w:val="12"/>
    </w:rPr>
  </w:style>
  <w:style w:type="paragraph" w:styleId="Textdeglobus">
    <w:name w:val="Balloon Text"/>
    <w:basedOn w:val="Normal"/>
    <w:link w:val="TextdeglobusCar"/>
    <w:uiPriority w:val="99"/>
    <w:semiHidden/>
    <w:unhideWhenUsed/>
    <w:rsid w:val="00B0438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04388"/>
    <w:rPr>
      <w:rFonts w:ascii="Segoe UI" w:hAnsi="Segoe UI" w:cs="Segoe UI"/>
      <w:sz w:val="18"/>
      <w:szCs w:val="18"/>
    </w:rPr>
  </w:style>
  <w:style w:type="paragraph" w:styleId="Ttol">
    <w:name w:val="Title"/>
    <w:basedOn w:val="Normal"/>
    <w:next w:val="Normal"/>
    <w:link w:val="TtolCar"/>
    <w:uiPriority w:val="10"/>
    <w:qFormat/>
    <w:rsid w:val="0002578F"/>
    <w:pPr>
      <w:spacing w:after="520" w:line="640" w:lineRule="exact"/>
      <w:contextualSpacing/>
    </w:pPr>
    <w:rPr>
      <w:rFonts w:ascii="Calibri Light" w:eastAsiaTheme="majorEastAsia" w:hAnsi="Calibri Light" w:cstheme="majorBidi"/>
      <w:color w:val="034EA2"/>
      <w:kern w:val="28"/>
      <w:sz w:val="60"/>
      <w:szCs w:val="56"/>
    </w:rPr>
  </w:style>
  <w:style w:type="character" w:customStyle="1" w:styleId="TtolCar">
    <w:name w:val="Títol Car"/>
    <w:basedOn w:val="Lletraperdefectedelpargraf"/>
    <w:link w:val="Ttol"/>
    <w:uiPriority w:val="10"/>
    <w:rsid w:val="0002578F"/>
    <w:rPr>
      <w:rFonts w:ascii="Calibri Light" w:eastAsiaTheme="majorEastAsia" w:hAnsi="Calibri Light" w:cstheme="majorBidi"/>
      <w:color w:val="034EA2"/>
      <w:kern w:val="28"/>
      <w:sz w:val="60"/>
      <w:szCs w:val="56"/>
    </w:rPr>
  </w:style>
  <w:style w:type="character" w:customStyle="1" w:styleId="Ttol1Car">
    <w:name w:val="Títol 1 Car"/>
    <w:basedOn w:val="Lletraperdefectedelpargraf"/>
    <w:link w:val="Ttol1"/>
    <w:uiPriority w:val="9"/>
    <w:rsid w:val="00035EDC"/>
    <w:rPr>
      <w:rFonts w:ascii="Calibri Light" w:eastAsiaTheme="majorEastAsia" w:hAnsi="Calibri Light" w:cstheme="majorBidi"/>
      <w:color w:val="034EA2"/>
      <w:sz w:val="60"/>
      <w:szCs w:val="32"/>
    </w:rPr>
  </w:style>
  <w:style w:type="character" w:customStyle="1" w:styleId="Ttol2Car">
    <w:name w:val="Títol 2 Car"/>
    <w:basedOn w:val="Lletraperdefectedelpargraf"/>
    <w:link w:val="Ttol2"/>
    <w:uiPriority w:val="9"/>
    <w:rsid w:val="00FF5B71"/>
    <w:rPr>
      <w:rFonts w:ascii="Calibri Light" w:eastAsiaTheme="majorEastAsia" w:hAnsi="Calibri Light" w:cstheme="majorBidi"/>
      <w:color w:val="034EA2"/>
      <w:sz w:val="28"/>
      <w:szCs w:val="26"/>
    </w:rPr>
  </w:style>
  <w:style w:type="paragraph" w:customStyle="1" w:styleId="berschriftNr1">
    <w:name w:val="Überschrift Nr.1"/>
    <w:basedOn w:val="Ttol1"/>
    <w:next w:val="Normal"/>
    <w:link w:val="berschriftNr1Zchn"/>
    <w:qFormat/>
    <w:rsid w:val="00013C55"/>
    <w:pPr>
      <w:numPr>
        <w:numId w:val="11"/>
      </w:numPr>
      <w:ind w:left="0" w:hanging="680"/>
    </w:pPr>
  </w:style>
  <w:style w:type="paragraph" w:customStyle="1" w:styleId="berschriftNr2">
    <w:name w:val="Überschrift Nr.2"/>
    <w:basedOn w:val="Ttol2"/>
    <w:next w:val="Normal"/>
    <w:link w:val="berschriftNr2Zchn"/>
    <w:qFormat/>
    <w:rsid w:val="00013C55"/>
    <w:pPr>
      <w:numPr>
        <w:ilvl w:val="1"/>
        <w:numId w:val="11"/>
      </w:numPr>
      <w:ind w:left="0" w:hanging="680"/>
    </w:pPr>
  </w:style>
  <w:style w:type="character" w:customStyle="1" w:styleId="berschriftNr1Zchn">
    <w:name w:val="Überschrift Nr.1 Zchn"/>
    <w:basedOn w:val="Ttol1Car"/>
    <w:link w:val="berschriftNr1"/>
    <w:rsid w:val="00013C55"/>
    <w:rPr>
      <w:rFonts w:ascii="Calibri Light" w:eastAsiaTheme="majorEastAsia" w:hAnsi="Calibri Light" w:cstheme="majorBidi"/>
      <w:color w:val="034EA2"/>
      <w:sz w:val="60"/>
      <w:szCs w:val="32"/>
      <w:lang w:val="en-US"/>
    </w:rPr>
  </w:style>
  <w:style w:type="character" w:customStyle="1" w:styleId="Ttol3Car">
    <w:name w:val="Títol 3 Car"/>
    <w:basedOn w:val="Lletraperdefectedelpargraf"/>
    <w:link w:val="Ttol3"/>
    <w:uiPriority w:val="9"/>
    <w:rsid w:val="008C6C77"/>
    <w:rPr>
      <w:rFonts w:ascii="Calibri" w:eastAsiaTheme="majorEastAsia" w:hAnsi="Calibri" w:cstheme="majorBidi"/>
      <w:color w:val="383838"/>
      <w:sz w:val="24"/>
      <w:szCs w:val="24"/>
    </w:rPr>
  </w:style>
  <w:style w:type="character" w:customStyle="1" w:styleId="berschriftNr2Zchn">
    <w:name w:val="Überschrift Nr.2 Zchn"/>
    <w:basedOn w:val="Ttol2Car"/>
    <w:link w:val="berschriftNr2"/>
    <w:rsid w:val="00013C55"/>
    <w:rPr>
      <w:rFonts w:ascii="Calibri Light" w:eastAsiaTheme="majorEastAsia" w:hAnsi="Calibri Light" w:cstheme="majorBidi"/>
      <w:color w:val="034EA2"/>
      <w:sz w:val="28"/>
      <w:szCs w:val="26"/>
      <w:lang w:val="en-US"/>
    </w:rPr>
  </w:style>
  <w:style w:type="character" w:customStyle="1" w:styleId="Ttol4Car">
    <w:name w:val="Títol 4 Car"/>
    <w:basedOn w:val="Lletraperdefectedelpargraf"/>
    <w:link w:val="Ttol4"/>
    <w:uiPriority w:val="9"/>
    <w:semiHidden/>
    <w:rsid w:val="006A036F"/>
    <w:rPr>
      <w:rFonts w:asciiTheme="majorHAnsi" w:eastAsiaTheme="majorEastAsia" w:hAnsiTheme="majorHAnsi" w:cstheme="majorBidi"/>
      <w:i/>
      <w:iCs/>
      <w:color w:val="004B85" w:themeColor="accent1" w:themeShade="BF"/>
      <w:sz w:val="20"/>
    </w:rPr>
  </w:style>
  <w:style w:type="character" w:customStyle="1" w:styleId="Ttol5Car">
    <w:name w:val="Títol 5 Car"/>
    <w:basedOn w:val="Lletraperdefectedelpargraf"/>
    <w:link w:val="Ttol5"/>
    <w:uiPriority w:val="9"/>
    <w:semiHidden/>
    <w:rsid w:val="00B025C5"/>
    <w:rPr>
      <w:rFonts w:asciiTheme="majorHAnsi" w:eastAsiaTheme="majorEastAsia" w:hAnsiTheme="majorHAnsi" w:cstheme="majorBidi"/>
      <w:color w:val="004B85" w:themeColor="accent1" w:themeShade="BF"/>
    </w:rPr>
  </w:style>
  <w:style w:type="character" w:customStyle="1" w:styleId="Ttol6Car">
    <w:name w:val="Títol 6 Car"/>
    <w:basedOn w:val="Lletraperdefectedelpargraf"/>
    <w:link w:val="Ttol6"/>
    <w:uiPriority w:val="9"/>
    <w:semiHidden/>
    <w:rsid w:val="00B025C5"/>
    <w:rPr>
      <w:rFonts w:asciiTheme="majorHAnsi" w:eastAsiaTheme="majorEastAsia" w:hAnsiTheme="majorHAnsi" w:cstheme="majorBidi"/>
      <w:color w:val="003158" w:themeColor="accent1" w:themeShade="7F"/>
    </w:rPr>
  </w:style>
  <w:style w:type="character" w:customStyle="1" w:styleId="Ttol7Car">
    <w:name w:val="Títol 7 Car"/>
    <w:basedOn w:val="Lletraperdefectedelpargraf"/>
    <w:link w:val="Ttol7"/>
    <w:uiPriority w:val="9"/>
    <w:semiHidden/>
    <w:rsid w:val="00B025C5"/>
    <w:rPr>
      <w:rFonts w:asciiTheme="majorHAnsi" w:eastAsiaTheme="majorEastAsia" w:hAnsiTheme="majorHAnsi" w:cstheme="majorBidi"/>
      <w:i/>
      <w:iCs/>
      <w:color w:val="003158" w:themeColor="accent1" w:themeShade="7F"/>
    </w:rPr>
  </w:style>
  <w:style w:type="character" w:customStyle="1" w:styleId="Ttol8Car">
    <w:name w:val="Títol 8 Car"/>
    <w:basedOn w:val="Lletraperdefectedelpargraf"/>
    <w:link w:val="Ttol8"/>
    <w:uiPriority w:val="9"/>
    <w:semiHidden/>
    <w:rsid w:val="00B025C5"/>
    <w:rPr>
      <w:rFonts w:asciiTheme="majorHAnsi" w:eastAsiaTheme="majorEastAsia" w:hAnsiTheme="majorHAnsi" w:cstheme="majorBidi"/>
      <w:color w:val="565656" w:themeColor="text1" w:themeTint="D8"/>
      <w:sz w:val="21"/>
      <w:szCs w:val="21"/>
    </w:rPr>
  </w:style>
  <w:style w:type="character" w:customStyle="1" w:styleId="Ttol9Car">
    <w:name w:val="Títol 9 Car"/>
    <w:basedOn w:val="Lletraperdefectedelpargraf"/>
    <w:link w:val="Ttol9"/>
    <w:uiPriority w:val="9"/>
    <w:semiHidden/>
    <w:rsid w:val="00B025C5"/>
    <w:rPr>
      <w:rFonts w:asciiTheme="majorHAnsi" w:eastAsiaTheme="majorEastAsia" w:hAnsiTheme="majorHAnsi" w:cstheme="majorBidi"/>
      <w:i/>
      <w:iCs/>
      <w:color w:val="565656" w:themeColor="text1" w:themeTint="D8"/>
      <w:sz w:val="21"/>
      <w:szCs w:val="21"/>
    </w:rPr>
  </w:style>
  <w:style w:type="paragraph" w:customStyle="1" w:styleId="Leadintext">
    <w:name w:val="Lead in text"/>
    <w:basedOn w:val="Normal"/>
    <w:next w:val="Normal"/>
    <w:link w:val="LeadintextZchn"/>
    <w:qFormat/>
    <w:rsid w:val="00FF5B71"/>
    <w:pPr>
      <w:spacing w:before="560" w:after="220" w:line="300" w:lineRule="exact"/>
    </w:pPr>
    <w:rPr>
      <w:rFonts w:ascii="Calibri Light" w:hAnsi="Calibri Light"/>
      <w:color w:val="878787"/>
      <w:sz w:val="24"/>
    </w:rPr>
  </w:style>
  <w:style w:type="character" w:customStyle="1" w:styleId="LeadintextZchn">
    <w:name w:val="Lead in text Zchn"/>
    <w:basedOn w:val="Lletraperdefectedelpargraf"/>
    <w:link w:val="Leadintext"/>
    <w:rsid w:val="00CF53AD"/>
    <w:rPr>
      <w:rFonts w:ascii="Calibri Light" w:hAnsi="Calibri Light"/>
      <w:color w:val="878787"/>
      <w:sz w:val="24"/>
      <w:lang w:val="en-US"/>
    </w:rPr>
  </w:style>
  <w:style w:type="table" w:styleId="Taulaambquadrcula">
    <w:name w:val="Table Grid"/>
    <w:basedOn w:val="Taulanormal"/>
    <w:uiPriority w:val="39"/>
    <w:rsid w:val="00505543"/>
    <w:pPr>
      <w:spacing w:after="0" w:line="240" w:lineRule="auto"/>
    </w:pPr>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Ttable1">
    <w:name w:val="EIT table 1"/>
    <w:basedOn w:val="Taulanormal"/>
    <w:uiPriority w:val="99"/>
    <w:rsid w:val="003818F1"/>
    <w:pPr>
      <w:spacing w:line="260" w:lineRule="atLeast"/>
      <w:ind w:left="170"/>
    </w:pPr>
    <w:rPr>
      <w:rFonts w:ascii="Calibri" w:hAnsi="Calibri"/>
      <w:color w:val="3333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57" w:type="dxa"/>
      </w:tblCellMar>
    </w:tblPr>
    <w:tblStylePr w:type="firstCol">
      <w:pPr>
        <w:jc w:val="left"/>
      </w:pPr>
      <w:rPr>
        <w:rFonts w:ascii="Calibri" w:hAnsi="Calibri"/>
        <w:caps w:val="0"/>
        <w:smallCaps w:val="0"/>
        <w:color w:val="FFFFFF"/>
        <w:sz w:val="20"/>
      </w:rPr>
      <w:tblPr>
        <w:jc w:val="center"/>
      </w:tblPr>
      <w:trPr>
        <w:jc w:val="center"/>
      </w:trPr>
      <w:tcPr>
        <w:shd w:val="clear" w:color="auto" w:fill="034EA2"/>
      </w:tcPr>
    </w:tblStylePr>
  </w:style>
  <w:style w:type="table" w:styleId="Taulaambquadrcula5fosca-mfasi1">
    <w:name w:val="Grid Table 5 Dark Accent 1"/>
    <w:basedOn w:val="Taulanormal"/>
    <w:uiPriority w:val="50"/>
    <w:rsid w:val="005055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5B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5B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5B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5B2"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paragraph" w:customStyle="1" w:styleId="Table">
    <w:name w:val="Table"/>
    <w:qFormat/>
    <w:rsid w:val="00712CA5"/>
    <w:rPr>
      <w:rFonts w:ascii="Calibri" w:hAnsi="Calibri"/>
      <w:sz w:val="20"/>
      <w:lang w:val="en-US"/>
    </w:rPr>
  </w:style>
  <w:style w:type="paragraph" w:customStyle="1" w:styleId="Bulletlevel1">
    <w:name w:val="Bullet level 1"/>
    <w:basedOn w:val="Normal"/>
    <w:link w:val="Bulletlevel1Zchn"/>
    <w:qFormat/>
    <w:rsid w:val="00101BD7"/>
    <w:pPr>
      <w:numPr>
        <w:numId w:val="12"/>
      </w:numPr>
      <w:spacing w:after="160"/>
      <w:ind w:left="697" w:hanging="357"/>
    </w:pPr>
  </w:style>
  <w:style w:type="paragraph" w:customStyle="1" w:styleId="Bulletlevel2">
    <w:name w:val="Bullet level 2"/>
    <w:basedOn w:val="Normal"/>
    <w:link w:val="Bulletlevel2Zchn"/>
    <w:qFormat/>
    <w:rsid w:val="00101BD7"/>
    <w:pPr>
      <w:numPr>
        <w:ilvl w:val="1"/>
        <w:numId w:val="12"/>
      </w:numPr>
      <w:spacing w:after="160"/>
      <w:ind w:left="1378" w:hanging="357"/>
    </w:pPr>
  </w:style>
  <w:style w:type="character" w:customStyle="1" w:styleId="Bulletlevel1Zchn">
    <w:name w:val="Bullet level 1 Zchn"/>
    <w:basedOn w:val="Lletraperdefectedelpargraf"/>
    <w:link w:val="Bulletlevel1"/>
    <w:rsid w:val="00101BD7"/>
    <w:rPr>
      <w:rFonts w:ascii="Calibri" w:hAnsi="Calibri"/>
      <w:color w:val="383838"/>
      <w:sz w:val="20"/>
    </w:rPr>
  </w:style>
  <w:style w:type="character" w:customStyle="1" w:styleId="Bulletlevel2Zchn">
    <w:name w:val="Bullet level 2 Zchn"/>
    <w:basedOn w:val="Lletraperdefectedelpargraf"/>
    <w:link w:val="Bulletlevel2"/>
    <w:rsid w:val="00101BD7"/>
    <w:rPr>
      <w:rFonts w:ascii="Calibri" w:hAnsi="Calibri"/>
      <w:color w:val="383838"/>
      <w:sz w:val="20"/>
    </w:rPr>
  </w:style>
  <w:style w:type="paragraph" w:styleId="IDC1">
    <w:name w:val="toc 1"/>
    <w:basedOn w:val="Normal"/>
    <w:next w:val="Normal"/>
    <w:autoRedefine/>
    <w:uiPriority w:val="39"/>
    <w:unhideWhenUsed/>
    <w:rsid w:val="00484E3B"/>
    <w:pPr>
      <w:tabs>
        <w:tab w:val="right" w:leader="dot" w:pos="8493"/>
      </w:tabs>
      <w:spacing w:after="100"/>
      <w:ind w:left="397" w:hanging="397"/>
    </w:pPr>
    <w:rPr>
      <w:b/>
    </w:rPr>
  </w:style>
  <w:style w:type="paragraph" w:styleId="IDC2">
    <w:name w:val="toc 2"/>
    <w:basedOn w:val="Normal"/>
    <w:next w:val="Normal"/>
    <w:autoRedefine/>
    <w:uiPriority w:val="39"/>
    <w:unhideWhenUsed/>
    <w:rsid w:val="00926AA2"/>
    <w:pPr>
      <w:spacing w:after="100"/>
      <w:ind w:left="907" w:hanging="510"/>
    </w:pPr>
  </w:style>
  <w:style w:type="character" w:styleId="Enlla">
    <w:name w:val="Hyperlink"/>
    <w:basedOn w:val="Lletraperdefectedelpargraf"/>
    <w:uiPriority w:val="99"/>
    <w:unhideWhenUsed/>
    <w:rsid w:val="00926AA2"/>
    <w:rPr>
      <w:color w:val="034EA2" w:themeColor="hyperlink"/>
      <w:u w:val="single"/>
    </w:rPr>
  </w:style>
  <w:style w:type="character" w:styleId="Refernciasubtil">
    <w:name w:val="Subtle Reference"/>
    <w:basedOn w:val="Lletraperdefectedelpargraf"/>
    <w:uiPriority w:val="31"/>
    <w:qFormat/>
    <w:rsid w:val="00C90F27"/>
    <w:rPr>
      <w:rFonts w:ascii="Calibri Light" w:hAnsi="Calibri Light"/>
      <w:smallCaps/>
      <w:color w:val="383838"/>
      <w:sz w:val="20"/>
    </w:rPr>
  </w:style>
  <w:style w:type="character" w:styleId="Refernciaintensa">
    <w:name w:val="Intense Reference"/>
    <w:basedOn w:val="Lletraperdefectedelpargraf"/>
    <w:uiPriority w:val="32"/>
    <w:qFormat/>
    <w:rsid w:val="00C90F27"/>
    <w:rPr>
      <w:rFonts w:ascii="Calibri Light" w:hAnsi="Calibri Light"/>
      <w:b/>
      <w:bCs/>
      <w:smallCaps/>
      <w:color w:val="034EA2"/>
      <w:spacing w:val="5"/>
      <w:sz w:val="20"/>
    </w:rPr>
  </w:style>
  <w:style w:type="character" w:styleId="mfasi">
    <w:name w:val="Emphasis"/>
    <w:basedOn w:val="Lletraperdefectedelpargraf"/>
    <w:uiPriority w:val="20"/>
    <w:qFormat/>
    <w:rsid w:val="00C90F27"/>
    <w:rPr>
      <w:rFonts w:ascii="Calibri" w:hAnsi="Calibri"/>
      <w:b/>
      <w:i w:val="0"/>
      <w:iCs/>
      <w:color w:val="383838"/>
      <w:sz w:val="20"/>
    </w:rPr>
  </w:style>
  <w:style w:type="character" w:styleId="mfasiintens">
    <w:name w:val="Intense Emphasis"/>
    <w:basedOn w:val="Lletraperdefectedelpargraf"/>
    <w:uiPriority w:val="21"/>
    <w:qFormat/>
    <w:rsid w:val="00C90F27"/>
    <w:rPr>
      <w:rFonts w:ascii="Calibri" w:hAnsi="Calibri"/>
      <w:i/>
      <w:iCs/>
      <w:color w:val="034EA2"/>
      <w:sz w:val="20"/>
    </w:rPr>
  </w:style>
  <w:style w:type="character" w:styleId="mfasisubtil">
    <w:name w:val="Subtle Emphasis"/>
    <w:basedOn w:val="Lletraperdefectedelpargraf"/>
    <w:uiPriority w:val="19"/>
    <w:qFormat/>
    <w:rsid w:val="00C90F27"/>
    <w:rPr>
      <w:rFonts w:ascii="Calibri Light" w:hAnsi="Calibri Light"/>
      <w:i/>
      <w:iCs/>
      <w:color w:val="696969"/>
      <w:sz w:val="20"/>
    </w:rPr>
  </w:style>
  <w:style w:type="paragraph" w:customStyle="1" w:styleId="ListNr1">
    <w:name w:val="List Nr. 1"/>
    <w:basedOn w:val="Normal"/>
    <w:link w:val="ListNr1Zchn"/>
    <w:qFormat/>
    <w:rsid w:val="00101BD7"/>
    <w:pPr>
      <w:numPr>
        <w:numId w:val="18"/>
      </w:numPr>
      <w:spacing w:after="160"/>
      <w:ind w:left="624" w:hanging="284"/>
    </w:pPr>
  </w:style>
  <w:style w:type="paragraph" w:customStyle="1" w:styleId="ListNr2">
    <w:name w:val="List Nr. 2"/>
    <w:basedOn w:val="Normal"/>
    <w:link w:val="ListNr2Zchn"/>
    <w:qFormat/>
    <w:rsid w:val="00101BD7"/>
    <w:pPr>
      <w:numPr>
        <w:ilvl w:val="1"/>
        <w:numId w:val="18"/>
      </w:numPr>
      <w:spacing w:after="160"/>
      <w:ind w:left="1248" w:hanging="284"/>
    </w:pPr>
  </w:style>
  <w:style w:type="character" w:customStyle="1" w:styleId="ListNr1Zchn">
    <w:name w:val="List Nr. 1 Zchn"/>
    <w:basedOn w:val="Lletraperdefectedelpargraf"/>
    <w:link w:val="ListNr1"/>
    <w:rsid w:val="00101BD7"/>
    <w:rPr>
      <w:rFonts w:ascii="Calibri" w:hAnsi="Calibri"/>
      <w:color w:val="383838"/>
      <w:sz w:val="20"/>
    </w:rPr>
  </w:style>
  <w:style w:type="paragraph" w:styleId="Pargrafdellista">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PargrafdellistaCar"/>
    <w:uiPriority w:val="34"/>
    <w:qFormat/>
    <w:rsid w:val="00C90F27"/>
    <w:pPr>
      <w:ind w:left="720"/>
      <w:contextualSpacing/>
    </w:pPr>
  </w:style>
  <w:style w:type="character" w:customStyle="1" w:styleId="ListNr2Zchn">
    <w:name w:val="List Nr. 2 Zchn"/>
    <w:basedOn w:val="Lletraperdefectedelpargraf"/>
    <w:link w:val="ListNr2"/>
    <w:rsid w:val="00101BD7"/>
    <w:rPr>
      <w:rFonts w:ascii="Calibri" w:hAnsi="Calibri"/>
      <w:color w:val="383838"/>
      <w:sz w:val="20"/>
    </w:rPr>
  </w:style>
  <w:style w:type="paragraph" w:styleId="Llegenda">
    <w:name w:val="caption"/>
    <w:basedOn w:val="Normal"/>
    <w:next w:val="Normal"/>
    <w:uiPriority w:val="35"/>
    <w:unhideWhenUsed/>
    <w:qFormat/>
    <w:rsid w:val="00B55456"/>
    <w:pPr>
      <w:spacing w:after="0" w:line="240" w:lineRule="auto"/>
    </w:pPr>
    <w:rPr>
      <w:iCs/>
      <w:color w:val="034EA2"/>
      <w:sz w:val="18"/>
      <w:szCs w:val="18"/>
    </w:rPr>
  </w:style>
  <w:style w:type="paragraph" w:styleId="Senseespaiat">
    <w:name w:val="No Spacing"/>
    <w:link w:val="SenseespaiatCar"/>
    <w:uiPriority w:val="1"/>
    <w:qFormat/>
    <w:rsid w:val="00A100B4"/>
    <w:pPr>
      <w:spacing w:after="0" w:line="240" w:lineRule="auto"/>
    </w:pPr>
    <w:rPr>
      <w:rFonts w:eastAsiaTheme="minorEastAsia" w:cstheme="minorBidi"/>
    </w:rPr>
  </w:style>
  <w:style w:type="character" w:customStyle="1" w:styleId="SenseespaiatCar">
    <w:name w:val="Sense espaiat Car"/>
    <w:basedOn w:val="Lletraperdefectedelpargraf"/>
    <w:link w:val="Senseespaiat"/>
    <w:uiPriority w:val="1"/>
    <w:rsid w:val="00BD7FC7"/>
    <w:rPr>
      <w:rFonts w:eastAsiaTheme="minorEastAsia" w:cstheme="minorBidi"/>
    </w:rPr>
  </w:style>
  <w:style w:type="paragraph" w:styleId="Subttol">
    <w:name w:val="Subtitle"/>
    <w:basedOn w:val="Normal"/>
    <w:next w:val="Normal"/>
    <w:link w:val="SubttolCar"/>
    <w:uiPriority w:val="11"/>
    <w:qFormat/>
    <w:rsid w:val="000F4B0E"/>
    <w:pPr>
      <w:numPr>
        <w:ilvl w:val="1"/>
      </w:numPr>
      <w:spacing w:before="340" w:after="112" w:line="320" w:lineRule="exact"/>
    </w:pPr>
    <w:rPr>
      <w:rFonts w:asciiTheme="minorHAnsi" w:eastAsiaTheme="minorEastAsia" w:hAnsiTheme="minorHAnsi" w:cstheme="minorBidi"/>
      <w:color w:val="034EA2"/>
      <w:spacing w:val="15"/>
      <w:sz w:val="28"/>
    </w:rPr>
  </w:style>
  <w:style w:type="character" w:customStyle="1" w:styleId="SubttolCar">
    <w:name w:val="Subtítol Car"/>
    <w:basedOn w:val="Lletraperdefectedelpargraf"/>
    <w:link w:val="Subttol"/>
    <w:uiPriority w:val="11"/>
    <w:rsid w:val="000F4B0E"/>
    <w:rPr>
      <w:rFonts w:eastAsiaTheme="minorEastAsia" w:cstheme="minorBidi"/>
      <w:color w:val="034EA2"/>
      <w:spacing w:val="15"/>
      <w:sz w:val="28"/>
    </w:rPr>
  </w:style>
  <w:style w:type="character" w:styleId="Mencisenseresoldre">
    <w:name w:val="Unresolved Mention"/>
    <w:basedOn w:val="Lletraperdefectedelpargraf"/>
    <w:uiPriority w:val="99"/>
    <w:semiHidden/>
    <w:unhideWhenUsed/>
    <w:rsid w:val="000F4B0E"/>
    <w:rPr>
      <w:color w:val="808080"/>
      <w:shd w:val="clear" w:color="auto" w:fill="E6E6E6"/>
    </w:rPr>
  </w:style>
  <w:style w:type="character" w:styleId="Textdelcontenidor">
    <w:name w:val="Placeholder Text"/>
    <w:basedOn w:val="Lletraperdefectedelpargraf"/>
    <w:uiPriority w:val="99"/>
    <w:semiHidden/>
    <w:rsid w:val="000F4B0E"/>
    <w:rPr>
      <w:color w:val="808080"/>
    </w:rPr>
  </w:style>
  <w:style w:type="character" w:styleId="Textennegreta">
    <w:name w:val="Strong"/>
    <w:basedOn w:val="Lletraperdefectedelpargraf"/>
    <w:uiPriority w:val="22"/>
    <w:qFormat/>
    <w:rsid w:val="00434F11"/>
    <w:rPr>
      <w:rFonts w:ascii="Calibri" w:hAnsi="Calibri"/>
      <w:b/>
      <w:bCs/>
      <w:color w:val="383838"/>
      <w:sz w:val="20"/>
    </w:rPr>
  </w:style>
  <w:style w:type="paragraph" w:customStyle="1" w:styleId="Bulletlevel3">
    <w:name w:val="Bullet level 3"/>
    <w:basedOn w:val="Normal"/>
    <w:link w:val="Bulletlevel3Zchn"/>
    <w:qFormat/>
    <w:rsid w:val="00101BD7"/>
    <w:pPr>
      <w:numPr>
        <w:ilvl w:val="2"/>
        <w:numId w:val="12"/>
      </w:numPr>
      <w:spacing w:after="160"/>
      <w:ind w:left="2058" w:hanging="357"/>
    </w:pPr>
  </w:style>
  <w:style w:type="character" w:customStyle="1" w:styleId="Bulletlevel3Zchn">
    <w:name w:val="Bullet level 3 Zchn"/>
    <w:basedOn w:val="Lletraperdefectedelpargraf"/>
    <w:link w:val="Bulletlevel3"/>
    <w:rsid w:val="00101BD7"/>
    <w:rPr>
      <w:rFonts w:ascii="Calibri" w:hAnsi="Calibri"/>
      <w:color w:val="383838"/>
      <w:sz w:val="20"/>
      <w:lang w:val="en-US"/>
    </w:rPr>
  </w:style>
  <w:style w:type="paragraph" w:customStyle="1" w:styleId="ListNr3">
    <w:name w:val="List Nr. 3"/>
    <w:basedOn w:val="Normal"/>
    <w:link w:val="ListNr3Zchn"/>
    <w:qFormat/>
    <w:rsid w:val="00101BD7"/>
    <w:pPr>
      <w:numPr>
        <w:ilvl w:val="2"/>
        <w:numId w:val="18"/>
      </w:numPr>
      <w:spacing w:after="160"/>
      <w:ind w:left="2382" w:hanging="624"/>
    </w:pPr>
  </w:style>
  <w:style w:type="character" w:customStyle="1" w:styleId="ListNr3Zchn">
    <w:name w:val="List Nr. 3 Zchn"/>
    <w:basedOn w:val="Lletraperdefectedelpargraf"/>
    <w:link w:val="ListNr3"/>
    <w:rsid w:val="00101BD7"/>
    <w:rPr>
      <w:rFonts w:ascii="Calibri" w:hAnsi="Calibri"/>
      <w:color w:val="383838"/>
      <w:sz w:val="20"/>
      <w:lang w:val="en-US"/>
    </w:rPr>
  </w:style>
  <w:style w:type="paragraph" w:styleId="Llistaambpics">
    <w:name w:val="List Bullet"/>
    <w:basedOn w:val="Normal"/>
    <w:uiPriority w:val="99"/>
    <w:unhideWhenUsed/>
    <w:rsid w:val="00C07C31"/>
    <w:pPr>
      <w:numPr>
        <w:numId w:val="19"/>
      </w:numPr>
      <w:contextualSpacing/>
    </w:pPr>
  </w:style>
  <w:style w:type="paragraph" w:customStyle="1" w:styleId="berschriftNr3">
    <w:name w:val="Überschrift Nr.3"/>
    <w:basedOn w:val="Ttol3"/>
    <w:next w:val="Normal"/>
    <w:link w:val="berschriftNr3Zchn"/>
    <w:qFormat/>
    <w:rsid w:val="008C6C77"/>
    <w:pPr>
      <w:numPr>
        <w:ilvl w:val="2"/>
        <w:numId w:val="11"/>
      </w:numPr>
      <w:ind w:left="0" w:hanging="794"/>
    </w:pPr>
  </w:style>
  <w:style w:type="character" w:customStyle="1" w:styleId="berschriftNr3Zchn">
    <w:name w:val="Überschrift Nr.3 Zchn"/>
    <w:basedOn w:val="Lletraperdefectedelpargraf"/>
    <w:link w:val="berschriftNr3"/>
    <w:rsid w:val="008C6C77"/>
    <w:rPr>
      <w:rFonts w:ascii="Calibri" w:eastAsiaTheme="majorEastAsia" w:hAnsi="Calibri" w:cstheme="majorBidi"/>
      <w:color w:val="383838"/>
      <w:sz w:val="24"/>
      <w:szCs w:val="24"/>
    </w:rPr>
  </w:style>
  <w:style w:type="table" w:styleId="Taulaambllista4-mfasi1">
    <w:name w:val="List Table 4 Accent 1"/>
    <w:basedOn w:val="Taulanorma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tcBorders>
        <w:shd w:val="clear" w:color="auto" w:fill="0065B2" w:themeFill="accent1"/>
      </w:tcPr>
    </w:tblStylePr>
    <w:tblStylePr w:type="lastRow">
      <w:rPr>
        <w:b/>
        <w:bCs/>
      </w:rPr>
      <w:tblPr/>
      <w:tcPr>
        <w:tcBorders>
          <w:top w:val="double" w:sz="4" w:space="0" w:color="37A8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customStyle="1" w:styleId="EIttable2">
    <w:name w:val="EIt table 2"/>
    <w:basedOn w:val="Taulaambquadrcula4-mfasi1"/>
    <w:uiPriority w:val="99"/>
    <w:rsid w:val="00301162"/>
    <w:pPr>
      <w:spacing w:after="160" w:line="260" w:lineRule="atLeast"/>
    </w:pPr>
    <w:rPr>
      <w:color w:val="383838"/>
      <w:sz w:val="20"/>
      <w:szCs w:val="20"/>
      <w:lang w:val="en-CA" w:eastAsia="en-C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0" w:type="dxa"/>
        <w:left w:w="170" w:type="dxa"/>
        <w:bottom w:w="57" w:type="dxa"/>
      </w:tblCellMar>
    </w:tblPr>
    <w:tblStylePr w:type="firstRow">
      <w:rPr>
        <w:rFonts w:ascii="Calibri" w:hAnsi="Calibr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5B2"/>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CBD3E4"/>
      </w:tcPr>
    </w:tblStylePr>
    <w:tblStylePr w:type="band2Horz">
      <w:tblPr/>
      <w:tcPr>
        <w:shd w:val="clear" w:color="auto" w:fill="E7EAF2"/>
      </w:tcPr>
    </w:tblStylePr>
  </w:style>
  <w:style w:type="table" w:styleId="Taulaambquadrcula4-mfasi1">
    <w:name w:val="Grid Table 4 Accent 1"/>
    <w:basedOn w:val="Taulanorma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insideV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insideV w:val="nil"/>
        </w:tcBorders>
        <w:shd w:val="clear" w:color="auto" w:fill="0065B2" w:themeFill="accent1"/>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character" w:styleId="Enllavisitat">
    <w:name w:val="FollowedHyperlink"/>
    <w:basedOn w:val="Lletraperdefectedelpargraf"/>
    <w:uiPriority w:val="99"/>
    <w:semiHidden/>
    <w:unhideWhenUsed/>
    <w:rsid w:val="00FC3C53"/>
    <w:rPr>
      <w:color w:val="686868" w:themeColor="followedHyperlink"/>
      <w:u w:val="single"/>
    </w:rPr>
  </w:style>
  <w:style w:type="paragraph" w:styleId="IDC3">
    <w:name w:val="toc 3"/>
    <w:basedOn w:val="Normal"/>
    <w:next w:val="Normal"/>
    <w:autoRedefine/>
    <w:uiPriority w:val="39"/>
    <w:unhideWhenUsed/>
    <w:rsid w:val="0065298C"/>
    <w:pPr>
      <w:spacing w:after="100"/>
      <w:ind w:left="400"/>
    </w:pPr>
  </w:style>
  <w:style w:type="paragraph" w:styleId="Textdenotaapeudepgina">
    <w:name w:val="footnote text"/>
    <w:basedOn w:val="Normal"/>
    <w:link w:val="TextdenotaapeudepginaCar"/>
    <w:uiPriority w:val="99"/>
    <w:semiHidden/>
    <w:unhideWhenUsed/>
    <w:rsid w:val="0069656C"/>
    <w:pPr>
      <w:spacing w:after="0" w:line="240" w:lineRule="auto"/>
    </w:pPr>
    <w:rPr>
      <w:szCs w:val="20"/>
    </w:rPr>
  </w:style>
  <w:style w:type="character" w:customStyle="1" w:styleId="TextdenotaapeudepginaCar">
    <w:name w:val="Text de nota a peu de pàgina Car"/>
    <w:basedOn w:val="Lletraperdefectedelpargraf"/>
    <w:link w:val="Textdenotaapeudepgina"/>
    <w:uiPriority w:val="99"/>
    <w:semiHidden/>
    <w:rsid w:val="0069656C"/>
    <w:rPr>
      <w:rFonts w:ascii="Calibri" w:hAnsi="Calibri"/>
      <w:color w:val="333333"/>
      <w:sz w:val="20"/>
      <w:szCs w:val="20"/>
      <w:lang w:val="en-US"/>
    </w:rPr>
  </w:style>
  <w:style w:type="character" w:styleId="Refernciadenotaapeudepgina">
    <w:name w:val="footnote reference"/>
    <w:basedOn w:val="Lletraperdefectedelpargraf"/>
    <w:uiPriority w:val="99"/>
    <w:semiHidden/>
    <w:unhideWhenUsed/>
    <w:rsid w:val="0069656C"/>
    <w:rPr>
      <w:vertAlign w:val="superscript"/>
    </w:rPr>
  </w:style>
  <w:style w:type="paragraph" w:customStyle="1" w:styleId="Heading31">
    <w:name w:val="Heading 31"/>
    <w:basedOn w:val="Ttol3"/>
    <w:qFormat/>
    <w:rsid w:val="00B67002"/>
    <w:pPr>
      <w:spacing w:before="0" w:after="360" w:line="240" w:lineRule="auto"/>
    </w:pPr>
    <w:rPr>
      <w:rFonts w:ascii="Calibri Light" w:hAnsi="Calibri Light"/>
      <w:b/>
      <w:bCs/>
      <w:caps/>
      <w:color w:val="6BB745" w:themeColor="background2"/>
      <w:sz w:val="28"/>
      <w:szCs w:val="22"/>
      <w:lang w:val="en-GB" w:eastAsia="en-US"/>
    </w:rPr>
  </w:style>
  <w:style w:type="paragraph" w:styleId="Textdecomentari">
    <w:name w:val="annotation text"/>
    <w:basedOn w:val="Normal"/>
    <w:link w:val="TextdecomentariCar"/>
    <w:uiPriority w:val="99"/>
    <w:unhideWhenUsed/>
    <w:pPr>
      <w:spacing w:line="240" w:lineRule="auto"/>
    </w:pPr>
    <w:rPr>
      <w:szCs w:val="20"/>
    </w:rPr>
  </w:style>
  <w:style w:type="character" w:customStyle="1" w:styleId="TextdecomentariCar">
    <w:name w:val="Text de comentari Car"/>
    <w:basedOn w:val="Lletraperdefectedelpargraf"/>
    <w:link w:val="Textdecomentari"/>
    <w:uiPriority w:val="99"/>
    <w:rPr>
      <w:rFonts w:ascii="Calibri" w:hAnsi="Calibri"/>
      <w:color w:val="333333"/>
      <w:sz w:val="20"/>
      <w:szCs w:val="20"/>
      <w:lang w:val="en-US"/>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8217A5"/>
    <w:rPr>
      <w:b/>
      <w:bCs/>
    </w:rPr>
  </w:style>
  <w:style w:type="character" w:customStyle="1" w:styleId="TemadelcomentariCar">
    <w:name w:val="Tema del comentari Car"/>
    <w:basedOn w:val="TextdecomentariCar"/>
    <w:link w:val="Temadelcomentari"/>
    <w:uiPriority w:val="99"/>
    <w:semiHidden/>
    <w:rsid w:val="008217A5"/>
    <w:rPr>
      <w:rFonts w:ascii="Calibri" w:hAnsi="Calibri"/>
      <w:b/>
      <w:bCs/>
      <w:color w:val="333333"/>
      <w:sz w:val="20"/>
      <w:szCs w:val="20"/>
      <w:lang w:val="en-US"/>
    </w:rPr>
  </w:style>
  <w:style w:type="character" w:customStyle="1" w:styleId="edit-post-post-linklink-prefix">
    <w:name w:val="edit-post-post-link__link-prefix"/>
    <w:basedOn w:val="Lletraperdefectedelpargraf"/>
    <w:rsid w:val="00495242"/>
  </w:style>
  <w:style w:type="character" w:customStyle="1" w:styleId="edit-post-post-linklink-post-name">
    <w:name w:val="edit-post-post-link__link-post-name"/>
    <w:basedOn w:val="Lletraperdefectedelpargraf"/>
    <w:rsid w:val="00495242"/>
  </w:style>
  <w:style w:type="character" w:customStyle="1" w:styleId="edit-post-post-linklink-suffix">
    <w:name w:val="edit-post-post-link__link-suffix"/>
    <w:basedOn w:val="Lletraperdefectedelpargraf"/>
    <w:rsid w:val="00495242"/>
  </w:style>
  <w:style w:type="paragraph" w:styleId="Revisi">
    <w:name w:val="Revision"/>
    <w:hidden/>
    <w:uiPriority w:val="99"/>
    <w:semiHidden/>
    <w:rsid w:val="00DD3F3D"/>
    <w:pPr>
      <w:spacing w:after="0" w:line="240" w:lineRule="auto"/>
    </w:pPr>
    <w:rPr>
      <w:rFonts w:ascii="Calibri" w:hAnsi="Calibri"/>
      <w:color w:val="333333"/>
      <w:sz w:val="20"/>
      <w:lang w:val="en-US"/>
    </w:rPr>
  </w:style>
  <w:style w:type="paragraph" w:styleId="Textdenotaalfinal">
    <w:name w:val="endnote text"/>
    <w:basedOn w:val="Normal"/>
    <w:link w:val="TextdenotaalfinalCar"/>
    <w:uiPriority w:val="99"/>
    <w:semiHidden/>
    <w:unhideWhenUsed/>
    <w:rsid w:val="00DC2880"/>
    <w:pPr>
      <w:spacing w:after="0" w:line="240" w:lineRule="auto"/>
    </w:pPr>
    <w:rPr>
      <w:szCs w:val="20"/>
    </w:rPr>
  </w:style>
  <w:style w:type="character" w:customStyle="1" w:styleId="TextdenotaalfinalCar">
    <w:name w:val="Text de nota al final Car"/>
    <w:basedOn w:val="Lletraperdefectedelpargraf"/>
    <w:link w:val="Textdenotaalfinal"/>
    <w:uiPriority w:val="99"/>
    <w:semiHidden/>
    <w:rsid w:val="00DC2880"/>
    <w:rPr>
      <w:rFonts w:ascii="Calibri" w:hAnsi="Calibri"/>
      <w:color w:val="333333"/>
      <w:sz w:val="20"/>
      <w:szCs w:val="20"/>
      <w:lang w:val="en-US"/>
    </w:rPr>
  </w:style>
  <w:style w:type="character" w:styleId="Refernciadenotaalfinal">
    <w:name w:val="endnote reference"/>
    <w:basedOn w:val="Lletraperdefectedelpargraf"/>
    <w:uiPriority w:val="99"/>
    <w:semiHidden/>
    <w:unhideWhenUsed/>
    <w:rsid w:val="00DC2880"/>
    <w:rPr>
      <w:vertAlign w:val="superscript"/>
    </w:rPr>
  </w:style>
  <w:style w:type="character" w:customStyle="1" w:styleId="cf01">
    <w:name w:val="cf01"/>
    <w:basedOn w:val="Lletraperdefectedelpargraf"/>
    <w:rsid w:val="00544914"/>
    <w:rPr>
      <w:rFonts w:ascii="Segoe UI" w:hAnsi="Segoe UI" w:cs="Segoe UI" w:hint="default"/>
      <w:color w:val="333333"/>
      <w:sz w:val="18"/>
      <w:szCs w:val="18"/>
    </w:rPr>
  </w:style>
  <w:style w:type="paragraph" w:customStyle="1" w:styleId="paragraph">
    <w:name w:val="paragraph"/>
    <w:basedOn w:val="Normal"/>
    <w:rsid w:val="00B11F42"/>
    <w:pPr>
      <w:spacing w:before="100" w:beforeAutospacing="1" w:after="100" w:afterAutospacing="1" w:line="240" w:lineRule="auto"/>
    </w:pPr>
    <w:rPr>
      <w:rFonts w:ascii="Times New Roman" w:hAnsi="Times New Roman"/>
      <w:color w:val="auto"/>
      <w:sz w:val="24"/>
      <w:szCs w:val="24"/>
      <w:lang w:val="en-GB" w:eastAsia="en-GB"/>
    </w:rPr>
  </w:style>
  <w:style w:type="character" w:customStyle="1" w:styleId="normaltextrun">
    <w:name w:val="normaltextrun"/>
    <w:basedOn w:val="Lletraperdefectedelpargraf"/>
    <w:rsid w:val="00B11F42"/>
  </w:style>
  <w:style w:type="character" w:customStyle="1" w:styleId="eop">
    <w:name w:val="eop"/>
    <w:basedOn w:val="Lletraperdefectedelpargraf"/>
    <w:rsid w:val="00B11F42"/>
  </w:style>
  <w:style w:type="paragraph" w:styleId="Textindependent">
    <w:name w:val="Body Text"/>
    <w:basedOn w:val="Normal"/>
    <w:link w:val="TextindependentCar"/>
    <w:uiPriority w:val="1"/>
    <w:qFormat/>
    <w:rsid w:val="00334125"/>
    <w:pPr>
      <w:widowControl w:val="0"/>
      <w:autoSpaceDE w:val="0"/>
      <w:autoSpaceDN w:val="0"/>
      <w:spacing w:after="0" w:line="240" w:lineRule="auto"/>
    </w:pPr>
    <w:rPr>
      <w:rFonts w:ascii="Calibri Light" w:eastAsia="Calibri Light" w:hAnsi="Calibri Light" w:cs="Calibri Light"/>
      <w:color w:val="auto"/>
      <w:sz w:val="22"/>
      <w:lang w:eastAsia="en-US"/>
    </w:rPr>
  </w:style>
  <w:style w:type="character" w:customStyle="1" w:styleId="TextindependentCar">
    <w:name w:val="Text independent Car"/>
    <w:basedOn w:val="Lletraperdefectedelpargraf"/>
    <w:link w:val="Textindependent"/>
    <w:uiPriority w:val="1"/>
    <w:rsid w:val="00334125"/>
    <w:rPr>
      <w:rFonts w:ascii="Calibri Light" w:eastAsia="Calibri Light" w:hAnsi="Calibri Light" w:cs="Calibri Light"/>
      <w:lang w:val="en-US" w:eastAsia="en-US"/>
    </w:rPr>
  </w:style>
  <w:style w:type="paragraph" w:customStyle="1" w:styleId="Bulletpoint">
    <w:name w:val="Bullet point"/>
    <w:basedOn w:val="Normal"/>
    <w:qFormat/>
    <w:rsid w:val="003F20DC"/>
    <w:pPr>
      <w:numPr>
        <w:numId w:val="28"/>
      </w:numPr>
      <w:spacing w:before="60" w:after="0" w:line="240" w:lineRule="auto"/>
    </w:pPr>
    <w:rPr>
      <w:rFonts w:ascii="Calibri Light" w:eastAsiaTheme="minorEastAsia" w:hAnsi="Calibri Light" w:cs="Calibri Light"/>
      <w:color w:val="034EA2" w:themeColor="text2"/>
      <w:kern w:val="2"/>
      <w:sz w:val="21"/>
      <w:szCs w:val="20"/>
      <w:lang w:val="fr-FR" w:eastAsia="en-US"/>
      <w14:ligatures w14:val="standardContextual"/>
    </w:rPr>
  </w:style>
  <w:style w:type="character" w:customStyle="1" w:styleId="PargrafdellistaCar">
    <w:name w:val="Paràgraf de llista Car"/>
    <w:aliases w:val="Bullet OFM Car,Számozott lista 1 Car,Main numbered paragraph Car,Numbered List Paragraph Car,List Paragraph à moi Car,Listaszerű bekezdés1 Car,LISTA Car,Dot pt Car,No Spacing1 Car,List Paragraph Char Char Char Car,Welt L Char Car"/>
    <w:basedOn w:val="Lletraperdefectedelpargraf"/>
    <w:link w:val="Pargrafdellista"/>
    <w:uiPriority w:val="34"/>
    <w:qFormat/>
    <w:rsid w:val="00464A06"/>
    <w:rPr>
      <w:rFonts w:ascii="Calibri" w:hAnsi="Calibri"/>
      <w:color w:val="333333"/>
      <w:sz w:val="20"/>
      <w:lang w:val="en-US"/>
    </w:rPr>
  </w:style>
  <w:style w:type="paragraph" w:customStyle="1" w:styleId="EITUMHeading1">
    <w:name w:val="EITUM Heading 1"/>
    <w:basedOn w:val="Ttol1"/>
    <w:link w:val="EITUMHeading1Char"/>
    <w:qFormat/>
    <w:rsid w:val="00464A06"/>
    <w:pPr>
      <w:numPr>
        <w:numId w:val="29"/>
      </w:numPr>
      <w:spacing w:before="960" w:after="240" w:line="264" w:lineRule="auto"/>
      <w:contextualSpacing/>
    </w:pPr>
    <w:rPr>
      <w:bCs/>
      <w:color w:val="034EA2" w:themeColor="text2"/>
      <w:szCs w:val="28"/>
      <w:lang w:val="en-GB" w:eastAsia="en-US"/>
    </w:rPr>
  </w:style>
  <w:style w:type="character" w:customStyle="1" w:styleId="EITUMHeading1Char">
    <w:name w:val="EITUM Heading 1 Char"/>
    <w:basedOn w:val="Lletraperdefectedelpargraf"/>
    <w:link w:val="EITUMHeading1"/>
    <w:rsid w:val="00464A06"/>
    <w:rPr>
      <w:rFonts w:ascii="Calibri Light" w:eastAsiaTheme="majorEastAsia" w:hAnsi="Calibri Light" w:cstheme="majorBidi"/>
      <w:bCs/>
      <w:color w:val="034EA2" w:themeColor="text2"/>
      <w:sz w:val="60"/>
      <w:szCs w:val="28"/>
      <w:lang w:val="en-GB" w:eastAsia="en-US"/>
    </w:rPr>
  </w:style>
  <w:style w:type="paragraph" w:customStyle="1" w:styleId="heading3numgreen">
    <w:name w:val="heading_3_num_green"/>
    <w:basedOn w:val="Pargrafdellista"/>
    <w:qFormat/>
    <w:rsid w:val="00464A06"/>
    <w:pPr>
      <w:numPr>
        <w:ilvl w:val="2"/>
        <w:numId w:val="29"/>
      </w:numPr>
      <w:spacing w:before="240" w:after="120" w:line="264" w:lineRule="auto"/>
      <w:jc w:val="both"/>
    </w:pPr>
    <w:rPr>
      <w:rFonts w:ascii="Calibri Light" w:eastAsiaTheme="majorEastAsia" w:hAnsi="Calibri Light" w:cstheme="majorBidi"/>
      <w:b/>
      <w:bCs/>
      <w:color w:val="6BB745" w:themeColor="background2"/>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0170">
      <w:bodyDiv w:val="1"/>
      <w:marLeft w:val="0"/>
      <w:marRight w:val="0"/>
      <w:marTop w:val="0"/>
      <w:marBottom w:val="0"/>
      <w:divBdr>
        <w:top w:val="none" w:sz="0" w:space="0" w:color="auto"/>
        <w:left w:val="none" w:sz="0" w:space="0" w:color="auto"/>
        <w:bottom w:val="none" w:sz="0" w:space="0" w:color="auto"/>
        <w:right w:val="none" w:sz="0" w:space="0" w:color="auto"/>
      </w:divBdr>
      <w:divsChild>
        <w:div w:id="1820345296">
          <w:marLeft w:val="0"/>
          <w:marRight w:val="0"/>
          <w:marTop w:val="0"/>
          <w:marBottom w:val="0"/>
          <w:divBdr>
            <w:top w:val="none" w:sz="0" w:space="0" w:color="auto"/>
            <w:left w:val="none" w:sz="0" w:space="0" w:color="auto"/>
            <w:bottom w:val="none" w:sz="0" w:space="0" w:color="auto"/>
            <w:right w:val="none" w:sz="0" w:space="0" w:color="auto"/>
          </w:divBdr>
        </w:div>
        <w:div w:id="373769138">
          <w:marLeft w:val="0"/>
          <w:marRight w:val="0"/>
          <w:marTop w:val="0"/>
          <w:marBottom w:val="0"/>
          <w:divBdr>
            <w:top w:val="none" w:sz="0" w:space="0" w:color="auto"/>
            <w:left w:val="none" w:sz="0" w:space="0" w:color="auto"/>
            <w:bottom w:val="none" w:sz="0" w:space="0" w:color="auto"/>
            <w:right w:val="none" w:sz="0" w:space="0" w:color="auto"/>
          </w:divBdr>
        </w:div>
      </w:divsChild>
    </w:div>
    <w:div w:id="349307695">
      <w:bodyDiv w:val="1"/>
      <w:marLeft w:val="0"/>
      <w:marRight w:val="0"/>
      <w:marTop w:val="0"/>
      <w:marBottom w:val="0"/>
      <w:divBdr>
        <w:top w:val="none" w:sz="0" w:space="0" w:color="auto"/>
        <w:left w:val="none" w:sz="0" w:space="0" w:color="auto"/>
        <w:bottom w:val="none" w:sz="0" w:space="0" w:color="auto"/>
        <w:right w:val="none" w:sz="0" w:space="0" w:color="auto"/>
      </w:divBdr>
    </w:div>
    <w:div w:id="424688702">
      <w:bodyDiv w:val="1"/>
      <w:marLeft w:val="0"/>
      <w:marRight w:val="0"/>
      <w:marTop w:val="0"/>
      <w:marBottom w:val="0"/>
      <w:divBdr>
        <w:top w:val="none" w:sz="0" w:space="0" w:color="auto"/>
        <w:left w:val="none" w:sz="0" w:space="0" w:color="auto"/>
        <w:bottom w:val="none" w:sz="0" w:space="0" w:color="auto"/>
        <w:right w:val="none" w:sz="0" w:space="0" w:color="auto"/>
      </w:divBdr>
      <w:divsChild>
        <w:div w:id="1155758804">
          <w:marLeft w:val="0"/>
          <w:marRight w:val="0"/>
          <w:marTop w:val="0"/>
          <w:marBottom w:val="0"/>
          <w:divBdr>
            <w:top w:val="none" w:sz="0" w:space="0" w:color="auto"/>
            <w:left w:val="none" w:sz="0" w:space="0" w:color="auto"/>
            <w:bottom w:val="none" w:sz="0" w:space="0" w:color="auto"/>
            <w:right w:val="none" w:sz="0" w:space="0" w:color="auto"/>
          </w:divBdr>
        </w:div>
        <w:div w:id="1064639827">
          <w:marLeft w:val="0"/>
          <w:marRight w:val="0"/>
          <w:marTop w:val="0"/>
          <w:marBottom w:val="0"/>
          <w:divBdr>
            <w:top w:val="none" w:sz="0" w:space="0" w:color="auto"/>
            <w:left w:val="none" w:sz="0" w:space="0" w:color="auto"/>
            <w:bottom w:val="none" w:sz="0" w:space="0" w:color="auto"/>
            <w:right w:val="none" w:sz="0" w:space="0" w:color="auto"/>
          </w:divBdr>
        </w:div>
        <w:div w:id="18549104">
          <w:marLeft w:val="0"/>
          <w:marRight w:val="0"/>
          <w:marTop w:val="0"/>
          <w:marBottom w:val="0"/>
          <w:divBdr>
            <w:top w:val="none" w:sz="0" w:space="0" w:color="auto"/>
            <w:left w:val="none" w:sz="0" w:space="0" w:color="auto"/>
            <w:bottom w:val="none" w:sz="0" w:space="0" w:color="auto"/>
            <w:right w:val="none" w:sz="0" w:space="0" w:color="auto"/>
          </w:divBdr>
        </w:div>
        <w:div w:id="604994561">
          <w:marLeft w:val="0"/>
          <w:marRight w:val="0"/>
          <w:marTop w:val="0"/>
          <w:marBottom w:val="0"/>
          <w:divBdr>
            <w:top w:val="none" w:sz="0" w:space="0" w:color="auto"/>
            <w:left w:val="none" w:sz="0" w:space="0" w:color="auto"/>
            <w:bottom w:val="none" w:sz="0" w:space="0" w:color="auto"/>
            <w:right w:val="none" w:sz="0" w:space="0" w:color="auto"/>
          </w:divBdr>
        </w:div>
        <w:div w:id="1728408707">
          <w:marLeft w:val="0"/>
          <w:marRight w:val="0"/>
          <w:marTop w:val="0"/>
          <w:marBottom w:val="0"/>
          <w:divBdr>
            <w:top w:val="none" w:sz="0" w:space="0" w:color="auto"/>
            <w:left w:val="none" w:sz="0" w:space="0" w:color="auto"/>
            <w:bottom w:val="none" w:sz="0" w:space="0" w:color="auto"/>
            <w:right w:val="none" w:sz="0" w:space="0" w:color="auto"/>
          </w:divBdr>
        </w:div>
        <w:div w:id="302925242">
          <w:marLeft w:val="0"/>
          <w:marRight w:val="0"/>
          <w:marTop w:val="0"/>
          <w:marBottom w:val="0"/>
          <w:divBdr>
            <w:top w:val="none" w:sz="0" w:space="0" w:color="auto"/>
            <w:left w:val="none" w:sz="0" w:space="0" w:color="auto"/>
            <w:bottom w:val="none" w:sz="0" w:space="0" w:color="auto"/>
            <w:right w:val="none" w:sz="0" w:space="0" w:color="auto"/>
          </w:divBdr>
        </w:div>
        <w:div w:id="1376588709">
          <w:marLeft w:val="0"/>
          <w:marRight w:val="0"/>
          <w:marTop w:val="0"/>
          <w:marBottom w:val="0"/>
          <w:divBdr>
            <w:top w:val="none" w:sz="0" w:space="0" w:color="auto"/>
            <w:left w:val="none" w:sz="0" w:space="0" w:color="auto"/>
            <w:bottom w:val="none" w:sz="0" w:space="0" w:color="auto"/>
            <w:right w:val="none" w:sz="0" w:space="0" w:color="auto"/>
          </w:divBdr>
          <w:divsChild>
            <w:div w:id="2066636407">
              <w:marLeft w:val="0"/>
              <w:marRight w:val="0"/>
              <w:marTop w:val="0"/>
              <w:marBottom w:val="0"/>
              <w:divBdr>
                <w:top w:val="none" w:sz="0" w:space="0" w:color="auto"/>
                <w:left w:val="none" w:sz="0" w:space="0" w:color="auto"/>
                <w:bottom w:val="none" w:sz="0" w:space="0" w:color="auto"/>
                <w:right w:val="none" w:sz="0" w:space="0" w:color="auto"/>
              </w:divBdr>
            </w:div>
            <w:div w:id="570695919">
              <w:marLeft w:val="0"/>
              <w:marRight w:val="0"/>
              <w:marTop w:val="0"/>
              <w:marBottom w:val="0"/>
              <w:divBdr>
                <w:top w:val="none" w:sz="0" w:space="0" w:color="auto"/>
                <w:left w:val="none" w:sz="0" w:space="0" w:color="auto"/>
                <w:bottom w:val="none" w:sz="0" w:space="0" w:color="auto"/>
                <w:right w:val="none" w:sz="0" w:space="0" w:color="auto"/>
              </w:divBdr>
            </w:div>
            <w:div w:id="2117404250">
              <w:marLeft w:val="0"/>
              <w:marRight w:val="0"/>
              <w:marTop w:val="0"/>
              <w:marBottom w:val="0"/>
              <w:divBdr>
                <w:top w:val="none" w:sz="0" w:space="0" w:color="auto"/>
                <w:left w:val="none" w:sz="0" w:space="0" w:color="auto"/>
                <w:bottom w:val="none" w:sz="0" w:space="0" w:color="auto"/>
                <w:right w:val="none" w:sz="0" w:space="0" w:color="auto"/>
              </w:divBdr>
            </w:div>
            <w:div w:id="1188644983">
              <w:marLeft w:val="0"/>
              <w:marRight w:val="0"/>
              <w:marTop w:val="0"/>
              <w:marBottom w:val="0"/>
              <w:divBdr>
                <w:top w:val="none" w:sz="0" w:space="0" w:color="auto"/>
                <w:left w:val="none" w:sz="0" w:space="0" w:color="auto"/>
                <w:bottom w:val="none" w:sz="0" w:space="0" w:color="auto"/>
                <w:right w:val="none" w:sz="0" w:space="0" w:color="auto"/>
              </w:divBdr>
            </w:div>
            <w:div w:id="565996809">
              <w:marLeft w:val="0"/>
              <w:marRight w:val="0"/>
              <w:marTop w:val="0"/>
              <w:marBottom w:val="0"/>
              <w:divBdr>
                <w:top w:val="none" w:sz="0" w:space="0" w:color="auto"/>
                <w:left w:val="none" w:sz="0" w:space="0" w:color="auto"/>
                <w:bottom w:val="none" w:sz="0" w:space="0" w:color="auto"/>
                <w:right w:val="none" w:sz="0" w:space="0" w:color="auto"/>
              </w:divBdr>
            </w:div>
            <w:div w:id="624776305">
              <w:marLeft w:val="0"/>
              <w:marRight w:val="0"/>
              <w:marTop w:val="0"/>
              <w:marBottom w:val="0"/>
              <w:divBdr>
                <w:top w:val="none" w:sz="0" w:space="0" w:color="auto"/>
                <w:left w:val="none" w:sz="0" w:space="0" w:color="auto"/>
                <w:bottom w:val="none" w:sz="0" w:space="0" w:color="auto"/>
                <w:right w:val="none" w:sz="0" w:space="0" w:color="auto"/>
              </w:divBdr>
            </w:div>
            <w:div w:id="374160249">
              <w:marLeft w:val="0"/>
              <w:marRight w:val="0"/>
              <w:marTop w:val="0"/>
              <w:marBottom w:val="0"/>
              <w:divBdr>
                <w:top w:val="none" w:sz="0" w:space="0" w:color="auto"/>
                <w:left w:val="none" w:sz="0" w:space="0" w:color="auto"/>
                <w:bottom w:val="none" w:sz="0" w:space="0" w:color="auto"/>
                <w:right w:val="none" w:sz="0" w:space="0" w:color="auto"/>
              </w:divBdr>
            </w:div>
            <w:div w:id="914436070">
              <w:marLeft w:val="0"/>
              <w:marRight w:val="0"/>
              <w:marTop w:val="0"/>
              <w:marBottom w:val="0"/>
              <w:divBdr>
                <w:top w:val="none" w:sz="0" w:space="0" w:color="auto"/>
                <w:left w:val="none" w:sz="0" w:space="0" w:color="auto"/>
                <w:bottom w:val="none" w:sz="0" w:space="0" w:color="auto"/>
                <w:right w:val="none" w:sz="0" w:space="0" w:color="auto"/>
              </w:divBdr>
            </w:div>
            <w:div w:id="443960671">
              <w:marLeft w:val="0"/>
              <w:marRight w:val="0"/>
              <w:marTop w:val="0"/>
              <w:marBottom w:val="0"/>
              <w:divBdr>
                <w:top w:val="none" w:sz="0" w:space="0" w:color="auto"/>
                <w:left w:val="none" w:sz="0" w:space="0" w:color="auto"/>
                <w:bottom w:val="none" w:sz="0" w:space="0" w:color="auto"/>
                <w:right w:val="none" w:sz="0" w:space="0" w:color="auto"/>
              </w:divBdr>
            </w:div>
            <w:div w:id="1491402922">
              <w:marLeft w:val="0"/>
              <w:marRight w:val="0"/>
              <w:marTop w:val="0"/>
              <w:marBottom w:val="0"/>
              <w:divBdr>
                <w:top w:val="none" w:sz="0" w:space="0" w:color="auto"/>
                <w:left w:val="none" w:sz="0" w:space="0" w:color="auto"/>
                <w:bottom w:val="none" w:sz="0" w:space="0" w:color="auto"/>
                <w:right w:val="none" w:sz="0" w:space="0" w:color="auto"/>
              </w:divBdr>
            </w:div>
            <w:div w:id="131025940">
              <w:marLeft w:val="0"/>
              <w:marRight w:val="0"/>
              <w:marTop w:val="0"/>
              <w:marBottom w:val="0"/>
              <w:divBdr>
                <w:top w:val="none" w:sz="0" w:space="0" w:color="auto"/>
                <w:left w:val="none" w:sz="0" w:space="0" w:color="auto"/>
                <w:bottom w:val="none" w:sz="0" w:space="0" w:color="auto"/>
                <w:right w:val="none" w:sz="0" w:space="0" w:color="auto"/>
              </w:divBdr>
            </w:div>
            <w:div w:id="829718126">
              <w:marLeft w:val="0"/>
              <w:marRight w:val="0"/>
              <w:marTop w:val="0"/>
              <w:marBottom w:val="0"/>
              <w:divBdr>
                <w:top w:val="none" w:sz="0" w:space="0" w:color="auto"/>
                <w:left w:val="none" w:sz="0" w:space="0" w:color="auto"/>
                <w:bottom w:val="none" w:sz="0" w:space="0" w:color="auto"/>
                <w:right w:val="none" w:sz="0" w:space="0" w:color="auto"/>
              </w:divBdr>
            </w:div>
            <w:div w:id="2084332066">
              <w:marLeft w:val="0"/>
              <w:marRight w:val="0"/>
              <w:marTop w:val="0"/>
              <w:marBottom w:val="0"/>
              <w:divBdr>
                <w:top w:val="none" w:sz="0" w:space="0" w:color="auto"/>
                <w:left w:val="none" w:sz="0" w:space="0" w:color="auto"/>
                <w:bottom w:val="none" w:sz="0" w:space="0" w:color="auto"/>
                <w:right w:val="none" w:sz="0" w:space="0" w:color="auto"/>
              </w:divBdr>
            </w:div>
            <w:div w:id="1443569417">
              <w:marLeft w:val="0"/>
              <w:marRight w:val="0"/>
              <w:marTop w:val="0"/>
              <w:marBottom w:val="0"/>
              <w:divBdr>
                <w:top w:val="none" w:sz="0" w:space="0" w:color="auto"/>
                <w:left w:val="none" w:sz="0" w:space="0" w:color="auto"/>
                <w:bottom w:val="none" w:sz="0" w:space="0" w:color="auto"/>
                <w:right w:val="none" w:sz="0" w:space="0" w:color="auto"/>
              </w:divBdr>
            </w:div>
            <w:div w:id="243996241">
              <w:marLeft w:val="0"/>
              <w:marRight w:val="0"/>
              <w:marTop w:val="0"/>
              <w:marBottom w:val="0"/>
              <w:divBdr>
                <w:top w:val="none" w:sz="0" w:space="0" w:color="auto"/>
                <w:left w:val="none" w:sz="0" w:space="0" w:color="auto"/>
                <w:bottom w:val="none" w:sz="0" w:space="0" w:color="auto"/>
                <w:right w:val="none" w:sz="0" w:space="0" w:color="auto"/>
              </w:divBdr>
            </w:div>
            <w:div w:id="1082869461">
              <w:marLeft w:val="0"/>
              <w:marRight w:val="0"/>
              <w:marTop w:val="0"/>
              <w:marBottom w:val="0"/>
              <w:divBdr>
                <w:top w:val="none" w:sz="0" w:space="0" w:color="auto"/>
                <w:left w:val="none" w:sz="0" w:space="0" w:color="auto"/>
                <w:bottom w:val="none" w:sz="0" w:space="0" w:color="auto"/>
                <w:right w:val="none" w:sz="0" w:space="0" w:color="auto"/>
              </w:divBdr>
            </w:div>
            <w:div w:id="1827277637">
              <w:marLeft w:val="0"/>
              <w:marRight w:val="0"/>
              <w:marTop w:val="0"/>
              <w:marBottom w:val="0"/>
              <w:divBdr>
                <w:top w:val="none" w:sz="0" w:space="0" w:color="auto"/>
                <w:left w:val="none" w:sz="0" w:space="0" w:color="auto"/>
                <w:bottom w:val="none" w:sz="0" w:space="0" w:color="auto"/>
                <w:right w:val="none" w:sz="0" w:space="0" w:color="auto"/>
              </w:divBdr>
            </w:div>
            <w:div w:id="1636257592">
              <w:marLeft w:val="0"/>
              <w:marRight w:val="0"/>
              <w:marTop w:val="0"/>
              <w:marBottom w:val="0"/>
              <w:divBdr>
                <w:top w:val="none" w:sz="0" w:space="0" w:color="auto"/>
                <w:left w:val="none" w:sz="0" w:space="0" w:color="auto"/>
                <w:bottom w:val="none" w:sz="0" w:space="0" w:color="auto"/>
                <w:right w:val="none" w:sz="0" w:space="0" w:color="auto"/>
              </w:divBdr>
            </w:div>
            <w:div w:id="752237247">
              <w:marLeft w:val="0"/>
              <w:marRight w:val="0"/>
              <w:marTop w:val="0"/>
              <w:marBottom w:val="0"/>
              <w:divBdr>
                <w:top w:val="none" w:sz="0" w:space="0" w:color="auto"/>
                <w:left w:val="none" w:sz="0" w:space="0" w:color="auto"/>
                <w:bottom w:val="none" w:sz="0" w:space="0" w:color="auto"/>
                <w:right w:val="none" w:sz="0" w:space="0" w:color="auto"/>
              </w:divBdr>
            </w:div>
          </w:divsChild>
        </w:div>
        <w:div w:id="790242868">
          <w:marLeft w:val="0"/>
          <w:marRight w:val="0"/>
          <w:marTop w:val="0"/>
          <w:marBottom w:val="0"/>
          <w:divBdr>
            <w:top w:val="none" w:sz="0" w:space="0" w:color="auto"/>
            <w:left w:val="none" w:sz="0" w:space="0" w:color="auto"/>
            <w:bottom w:val="none" w:sz="0" w:space="0" w:color="auto"/>
            <w:right w:val="none" w:sz="0" w:space="0" w:color="auto"/>
          </w:divBdr>
        </w:div>
      </w:divsChild>
    </w:div>
    <w:div w:id="582640486">
      <w:bodyDiv w:val="1"/>
      <w:marLeft w:val="0"/>
      <w:marRight w:val="0"/>
      <w:marTop w:val="0"/>
      <w:marBottom w:val="0"/>
      <w:divBdr>
        <w:top w:val="none" w:sz="0" w:space="0" w:color="auto"/>
        <w:left w:val="none" w:sz="0" w:space="0" w:color="auto"/>
        <w:bottom w:val="none" w:sz="0" w:space="0" w:color="auto"/>
        <w:right w:val="none" w:sz="0" w:space="0" w:color="auto"/>
      </w:divBdr>
    </w:div>
    <w:div w:id="773676364">
      <w:bodyDiv w:val="1"/>
      <w:marLeft w:val="0"/>
      <w:marRight w:val="0"/>
      <w:marTop w:val="0"/>
      <w:marBottom w:val="0"/>
      <w:divBdr>
        <w:top w:val="none" w:sz="0" w:space="0" w:color="auto"/>
        <w:left w:val="none" w:sz="0" w:space="0" w:color="auto"/>
        <w:bottom w:val="none" w:sz="0" w:space="0" w:color="auto"/>
        <w:right w:val="none" w:sz="0" w:space="0" w:color="auto"/>
      </w:divBdr>
    </w:div>
    <w:div w:id="878476228">
      <w:bodyDiv w:val="1"/>
      <w:marLeft w:val="0"/>
      <w:marRight w:val="0"/>
      <w:marTop w:val="0"/>
      <w:marBottom w:val="0"/>
      <w:divBdr>
        <w:top w:val="none" w:sz="0" w:space="0" w:color="auto"/>
        <w:left w:val="none" w:sz="0" w:space="0" w:color="auto"/>
        <w:bottom w:val="none" w:sz="0" w:space="0" w:color="auto"/>
        <w:right w:val="none" w:sz="0" w:space="0" w:color="auto"/>
      </w:divBdr>
    </w:div>
    <w:div w:id="210903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t.europa.eu/sites/default/files/2025-03/EIT%20RIS%20Implementation%20Framework%20%28Updated%202025-2027%2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it.europa.eu/sites/default/files/2025-03/EIT%20RIS%20Implementation%20Framework%20%28Updated%202025-2027%2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1D0820&amp;qid=162488296698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t.europa.eu/library/eit-simplified-impact-frame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EIT health">
      <a:dk1>
        <a:srgbClr val="383838"/>
      </a:dk1>
      <a:lt1>
        <a:sysClr val="window" lastClr="FFFFFF"/>
      </a:lt1>
      <a:dk2>
        <a:srgbClr val="034EA2"/>
      </a:dk2>
      <a:lt2>
        <a:srgbClr val="6BB745"/>
      </a:lt2>
      <a:accent1>
        <a:srgbClr val="0065B2"/>
      </a:accent1>
      <a:accent2>
        <a:srgbClr val="73C4EE"/>
      </a:accent2>
      <a:accent3>
        <a:srgbClr val="E743C6"/>
      </a:accent3>
      <a:accent4>
        <a:srgbClr val="383838"/>
      </a:accent4>
      <a:accent5>
        <a:srgbClr val="686868"/>
      </a:accent5>
      <a:accent6>
        <a:srgbClr val="989898"/>
      </a:accent6>
      <a:hlink>
        <a:srgbClr val="034EA2"/>
      </a:hlink>
      <a:folHlink>
        <a:srgbClr val="686868"/>
      </a:folHlink>
    </a:clrScheme>
    <a:fontScheme name="EIT">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0410300BA804ABDEBE804C65E72D5" ma:contentTypeVersion="19" ma:contentTypeDescription="Create a new document." ma:contentTypeScope="" ma:versionID="3f56c80b406cf5603ec72a4dcf3828be">
  <xsd:schema xmlns:xsd="http://www.w3.org/2001/XMLSchema" xmlns:xs="http://www.w3.org/2001/XMLSchema" xmlns:p="http://schemas.microsoft.com/office/2006/metadata/properties" xmlns:ns2="aaaedbd0-7f6f-465b-b9f2-d7d54d8c82f7" xmlns:ns3="ccf273e4-3e0d-42e1-b8ed-9ca0cb3b3f44" targetNamespace="http://schemas.microsoft.com/office/2006/metadata/properties" ma:root="true" ma:fieldsID="6eda8e45d9fbb823649dab47e0baef63" ns2:_="" ns3:_="">
    <xsd:import namespace="aaaedbd0-7f6f-465b-b9f2-d7d54d8c82f7"/>
    <xsd:import namespace="ccf273e4-3e0d-42e1-b8ed-9ca0cb3b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edbd0-7f6f-465b-b9f2-d7d54d8c8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42f1dc-e71f-4f20-82f8-260b605f778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273e4-3e0d-42e1-b8ed-9ca0cb3b3f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110a49-81f8-4455-b25f-9659c332f440}" ma:internalName="TaxCatchAll" ma:showField="CatchAllData" ma:web="ccf273e4-3e0d-42e1-b8ed-9ca0cb3b3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aedbd0-7f6f-465b-b9f2-d7d54d8c82f7">
      <Terms xmlns="http://schemas.microsoft.com/office/infopath/2007/PartnerControls"/>
    </lcf76f155ced4ddcb4097134ff3c332f>
    <TaxCatchAll xmlns="ccf273e4-3e0d-42e1-b8ed-9ca0cb3b3f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0FCD-C319-4B84-8941-32933CAD4FE2}">
  <ds:schemaRefs>
    <ds:schemaRef ds:uri="http://schemas.microsoft.com/sharepoint/v3/contenttype/forms"/>
  </ds:schemaRefs>
</ds:datastoreItem>
</file>

<file path=customXml/itemProps2.xml><?xml version="1.0" encoding="utf-8"?>
<ds:datastoreItem xmlns:ds="http://schemas.openxmlformats.org/officeDocument/2006/customXml" ds:itemID="{553A9D6C-2CF9-4F90-A76F-E45D29DF0E62}"/>
</file>

<file path=customXml/itemProps3.xml><?xml version="1.0" encoding="utf-8"?>
<ds:datastoreItem xmlns:ds="http://schemas.openxmlformats.org/officeDocument/2006/customXml" ds:itemID="{622D2BA5-032B-4DDC-B122-7E77E7CFF1C9}">
  <ds:schemaRefs>
    <ds:schemaRef ds:uri="http://schemas.microsoft.com/office/2006/metadata/properties"/>
    <ds:schemaRef ds:uri="http://schemas.microsoft.com/office/infopath/2007/PartnerControls"/>
    <ds:schemaRef ds:uri="2f1db1b9-33a0-447a-8726-ec1a7d93aa02"/>
    <ds:schemaRef ds:uri="70b8dd83-fd17-4b17-b50f-19c0932e6f4f"/>
  </ds:schemaRefs>
</ds:datastoreItem>
</file>

<file path=customXml/itemProps4.xml><?xml version="1.0" encoding="utf-8"?>
<ds:datastoreItem xmlns:ds="http://schemas.openxmlformats.org/officeDocument/2006/customXml" ds:itemID="{3C865DFA-D492-4758-90F6-7EC2868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5093</Words>
  <Characters>29034</Characters>
  <Application>Microsoft Office Word</Application>
  <DocSecurity>0</DocSecurity>
  <Lines>241</Lines>
  <Paragraphs>68</Paragraphs>
  <ScaleCrop>false</ScaleCrop>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Daniel</dc:creator>
  <cp:keywords/>
  <dc:description/>
  <cp:lastModifiedBy>Josep Marí Cervera</cp:lastModifiedBy>
  <cp:revision>3</cp:revision>
  <cp:lastPrinted>2017-07-25T03:37:00Z</cp:lastPrinted>
  <dcterms:created xsi:type="dcterms:W3CDTF">2025-10-28T07:57:00Z</dcterms:created>
  <dcterms:modified xsi:type="dcterms:W3CDTF">2025-10-31T08:03:00Z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0x01010093B0410300BA804ABDEBE804C65E72D5</vt:lpwstr>
  </property>
  <property fmtid="{D5CDD505-2E9C-101B-9397-08002B2CF9AE}" pid="3" name="_dlc_DocIdItemGuid">
    <vt:lpwstr>73048382-a889-4d69-9b3c-93806236be89</vt:lpwstr>
  </property>
  <property fmtid="{D5CDD505-2E9C-101B-9397-08002B2CF9AE}" pid="4" name="MediaServiceImageTags">
    <vt:lpwstr/>
  </property>
  <property fmtid="{D5CDD505-2E9C-101B-9397-08002B2CF9AE}" pid="5" name="GrammarlyDocumentId">
    <vt:lpwstr>9c5562d73aa32e72dae5877a221ee7e5bb6a0c8f3c0537a127409d176d72e035</vt:lpwstr>
  </property>
</Properties>
</file>